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3"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549"/>
        <w:gridCol w:w="714"/>
        <w:gridCol w:w="1769"/>
        <w:gridCol w:w="2484"/>
        <w:gridCol w:w="1701"/>
        <w:gridCol w:w="1276"/>
      </w:tblGrid>
      <w:tr w:rsidR="009F3893" w:rsidRPr="004A7E5E" w14:paraId="778103BD" w14:textId="77777777" w:rsidTr="009F3893">
        <w:trPr>
          <w:cantSplit/>
        </w:trPr>
        <w:tc>
          <w:tcPr>
            <w:tcW w:w="2263" w:type="dxa"/>
            <w:gridSpan w:val="2"/>
            <w:tcBorders>
              <w:bottom w:val="single" w:sz="4" w:space="0" w:color="auto"/>
            </w:tcBorders>
          </w:tcPr>
          <w:p w14:paraId="310B202A" w14:textId="77777777" w:rsidR="009F3893" w:rsidRPr="004A7E5E" w:rsidRDefault="009F3893" w:rsidP="00407A8E">
            <w:pPr>
              <w:jc w:val="center"/>
              <w:rPr>
                <w:rFonts w:eastAsia="Times New Roman" w:cs="Arial"/>
                <w:szCs w:val="22"/>
                <w:lang w:eastAsia="fr-FR"/>
              </w:rPr>
            </w:pPr>
            <w:r>
              <w:rPr>
                <w:noProof/>
              </w:rPr>
              <w:drawing>
                <wp:inline distT="0" distB="0" distL="0" distR="0" wp14:anchorId="583E995B" wp14:editId="748E2B38">
                  <wp:extent cx="1062655" cy="985837"/>
                  <wp:effectExtent l="0" t="0" r="4445" b="5080"/>
                  <wp:docPr id="7661023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1402" cy="993951"/>
                          </a:xfrm>
                          <a:prstGeom prst="rect">
                            <a:avLst/>
                          </a:prstGeom>
                          <a:noFill/>
                          <a:ln>
                            <a:noFill/>
                          </a:ln>
                        </pic:spPr>
                      </pic:pic>
                    </a:graphicData>
                  </a:graphic>
                </wp:inline>
              </w:drawing>
            </w:r>
            <w:r>
              <w:rPr>
                <w:b/>
                <w:bCs/>
                <w:sz w:val="14"/>
                <w:szCs w:val="16"/>
                <w:lang w:val="en"/>
              </w:rPr>
              <w:br/>
            </w:r>
            <w:r w:rsidRPr="00740D33">
              <w:rPr>
                <w:b/>
                <w:bCs/>
                <w:sz w:val="14"/>
                <w:szCs w:val="16"/>
                <w:lang w:val="en"/>
              </w:rPr>
              <w:t>T</w:t>
            </w:r>
            <w:r w:rsidRPr="00740D33">
              <w:rPr>
                <w:sz w:val="14"/>
                <w:szCs w:val="16"/>
                <w:lang w:val="en"/>
              </w:rPr>
              <w:t xml:space="preserve">he </w:t>
            </w:r>
            <w:r w:rsidRPr="00740D33">
              <w:rPr>
                <w:b/>
                <w:bCs/>
                <w:sz w:val="14"/>
                <w:szCs w:val="16"/>
                <w:lang w:val="en"/>
              </w:rPr>
              <w:t>E</w:t>
            </w:r>
            <w:r w:rsidRPr="00740D33">
              <w:rPr>
                <w:sz w:val="14"/>
                <w:szCs w:val="16"/>
                <w:lang w:val="en"/>
              </w:rPr>
              <w:t xml:space="preserve">uropean </w:t>
            </w:r>
            <w:r w:rsidRPr="00740D33">
              <w:rPr>
                <w:b/>
                <w:bCs/>
                <w:sz w:val="14"/>
                <w:szCs w:val="16"/>
                <w:lang w:val="en"/>
              </w:rPr>
              <w:t>A</w:t>
            </w:r>
            <w:r w:rsidRPr="00740D33">
              <w:rPr>
                <w:sz w:val="14"/>
                <w:szCs w:val="16"/>
                <w:lang w:val="en"/>
              </w:rPr>
              <w:t xml:space="preserve">ssociation of </w:t>
            </w:r>
            <w:r w:rsidRPr="00740D33">
              <w:rPr>
                <w:b/>
                <w:bCs/>
                <w:sz w:val="14"/>
                <w:szCs w:val="16"/>
                <w:lang w:val="en"/>
              </w:rPr>
              <w:t>M</w:t>
            </w:r>
            <w:r w:rsidRPr="00740D33">
              <w:rPr>
                <w:sz w:val="14"/>
                <w:szCs w:val="16"/>
                <w:lang w:val="en"/>
              </w:rPr>
              <w:t xml:space="preserve">edical devices </w:t>
            </w:r>
            <w:r w:rsidRPr="00740D33">
              <w:rPr>
                <w:b/>
                <w:bCs/>
                <w:sz w:val="14"/>
                <w:szCs w:val="16"/>
                <w:lang w:val="en"/>
              </w:rPr>
              <w:t>N</w:t>
            </w:r>
            <w:r w:rsidRPr="00740D33">
              <w:rPr>
                <w:sz w:val="14"/>
                <w:szCs w:val="16"/>
                <w:lang w:val="en"/>
              </w:rPr>
              <w:t xml:space="preserve">otified </w:t>
            </w:r>
            <w:r w:rsidRPr="00740D33">
              <w:rPr>
                <w:b/>
                <w:bCs/>
                <w:sz w:val="14"/>
                <w:szCs w:val="16"/>
                <w:lang w:val="en"/>
              </w:rPr>
              <w:t>B</w:t>
            </w:r>
            <w:r w:rsidRPr="00740D33">
              <w:rPr>
                <w:sz w:val="14"/>
                <w:szCs w:val="16"/>
                <w:lang w:val="en"/>
              </w:rPr>
              <w:t>odies</w:t>
            </w:r>
          </w:p>
        </w:tc>
        <w:tc>
          <w:tcPr>
            <w:tcW w:w="7230" w:type="dxa"/>
            <w:gridSpan w:val="4"/>
            <w:tcBorders>
              <w:bottom w:val="single" w:sz="4" w:space="0" w:color="auto"/>
            </w:tcBorders>
            <w:vAlign w:val="center"/>
          </w:tcPr>
          <w:p w14:paraId="12DDAE52" w14:textId="77777777" w:rsidR="009F3893" w:rsidRPr="004A7E5E" w:rsidRDefault="009F3893" w:rsidP="00407A8E">
            <w:pPr>
              <w:spacing w:before="360" w:after="240"/>
              <w:jc w:val="center"/>
              <w:rPr>
                <w:b/>
                <w:bCs/>
                <w:sz w:val="40"/>
                <w:szCs w:val="40"/>
              </w:rPr>
            </w:pPr>
            <w:r w:rsidRPr="004A7E5E">
              <w:rPr>
                <w:b/>
                <w:bCs/>
                <w:sz w:val="40"/>
                <w:szCs w:val="40"/>
              </w:rPr>
              <w:t>MD/IVD targeted revision of EU rules</w:t>
            </w:r>
          </w:p>
          <w:p w14:paraId="5D754911" w14:textId="77777777" w:rsidR="009F3893" w:rsidRPr="004A7E5E" w:rsidRDefault="009F3893" w:rsidP="00407A8E">
            <w:pPr>
              <w:jc w:val="center"/>
              <w:rPr>
                <w:rFonts w:eastAsia="Times New Roman" w:cs="Arial"/>
                <w:szCs w:val="22"/>
                <w:lang w:eastAsia="fr-FR"/>
              </w:rPr>
            </w:pPr>
            <w:r w:rsidRPr="004A7E5E">
              <w:rPr>
                <w:b/>
                <w:bCs/>
                <w:sz w:val="40"/>
                <w:szCs w:val="40"/>
              </w:rPr>
              <w:t>“Have your say”</w:t>
            </w:r>
          </w:p>
        </w:tc>
      </w:tr>
      <w:tr w:rsidR="009F3893" w:rsidRPr="004A7E5E" w14:paraId="0830EE9C" w14:textId="77777777" w:rsidTr="009F3893">
        <w:trPr>
          <w:cantSplit/>
        </w:trPr>
        <w:tc>
          <w:tcPr>
            <w:tcW w:w="1549" w:type="dxa"/>
            <w:tcBorders>
              <w:top w:val="single" w:sz="4" w:space="0" w:color="auto"/>
              <w:bottom w:val="single" w:sz="4" w:space="0" w:color="auto"/>
            </w:tcBorders>
          </w:tcPr>
          <w:p w14:paraId="2B795F73" w14:textId="77777777" w:rsidR="009F3893" w:rsidRPr="004A7E5E" w:rsidRDefault="009F3893" w:rsidP="00407A8E">
            <w:pPr>
              <w:rPr>
                <w:rFonts w:eastAsia="Times New Roman" w:cs="Arial"/>
                <w:szCs w:val="22"/>
                <w:lang w:eastAsia="fr-FR"/>
              </w:rPr>
            </w:pPr>
            <w:r w:rsidRPr="004A7E5E">
              <w:rPr>
                <w:rFonts w:eastAsia="Times New Roman" w:cs="Arial"/>
                <w:szCs w:val="22"/>
                <w:lang w:eastAsia="fr-FR"/>
              </w:rPr>
              <w:t xml:space="preserve">Editor : </w:t>
            </w:r>
          </w:p>
        </w:tc>
        <w:tc>
          <w:tcPr>
            <w:tcW w:w="2483" w:type="dxa"/>
            <w:gridSpan w:val="2"/>
            <w:tcBorders>
              <w:top w:val="single" w:sz="4" w:space="0" w:color="auto"/>
              <w:bottom w:val="single" w:sz="4" w:space="0" w:color="auto"/>
            </w:tcBorders>
          </w:tcPr>
          <w:p w14:paraId="6A4F86EE" w14:textId="77777777" w:rsidR="009F3893" w:rsidRPr="004A7E5E" w:rsidRDefault="009F3893" w:rsidP="00407A8E">
            <w:pPr>
              <w:rPr>
                <w:rFonts w:eastAsia="Times New Roman" w:cs="Arial"/>
                <w:szCs w:val="22"/>
                <w:lang w:eastAsia="fr-FR"/>
              </w:rPr>
            </w:pPr>
            <w:r w:rsidRPr="004A7E5E">
              <w:rPr>
                <w:b/>
                <w:bCs/>
                <w:szCs w:val="22"/>
              </w:rPr>
              <w:t>Team-NB</w:t>
            </w:r>
          </w:p>
        </w:tc>
        <w:tc>
          <w:tcPr>
            <w:tcW w:w="2484" w:type="dxa"/>
            <w:tcBorders>
              <w:top w:val="single" w:sz="4" w:space="0" w:color="auto"/>
              <w:bottom w:val="single" w:sz="4" w:space="0" w:color="auto"/>
            </w:tcBorders>
          </w:tcPr>
          <w:p w14:paraId="07F85598" w14:textId="77777777" w:rsidR="009F3893" w:rsidRPr="004A7E5E" w:rsidRDefault="009F3893" w:rsidP="00407A8E">
            <w:pPr>
              <w:spacing w:after="0" w:line="240" w:lineRule="auto"/>
              <w:jc w:val="right"/>
              <w:rPr>
                <w:rFonts w:eastAsia="Times New Roman" w:cs="Arial"/>
                <w:szCs w:val="22"/>
                <w:lang w:eastAsia="fr-FR"/>
              </w:rPr>
            </w:pPr>
            <w:r w:rsidRPr="004A7E5E">
              <w:rPr>
                <w:rFonts w:eastAsia="Times New Roman" w:cs="Arial"/>
                <w:szCs w:val="22"/>
                <w:lang w:eastAsia="fr-FR"/>
              </w:rPr>
              <w:t>Adoption date</w:t>
            </w:r>
          </w:p>
        </w:tc>
        <w:tc>
          <w:tcPr>
            <w:tcW w:w="1701" w:type="dxa"/>
            <w:tcBorders>
              <w:top w:val="single" w:sz="4" w:space="0" w:color="auto"/>
              <w:bottom w:val="single" w:sz="4" w:space="0" w:color="auto"/>
            </w:tcBorders>
          </w:tcPr>
          <w:p w14:paraId="5CF868BB" w14:textId="23DD03BD" w:rsidR="009F3893" w:rsidRPr="004A7E5E" w:rsidRDefault="009F3893" w:rsidP="00407A8E">
            <w:pPr>
              <w:rPr>
                <w:rFonts w:eastAsia="Times New Roman" w:cs="Arial"/>
                <w:szCs w:val="22"/>
                <w:lang w:eastAsia="fr-FR"/>
              </w:rPr>
            </w:pPr>
            <w:r>
              <w:rPr>
                <w:rFonts w:eastAsia="Times New Roman" w:cs="Arial"/>
                <w:szCs w:val="22"/>
                <w:lang w:eastAsia="fr-FR"/>
              </w:rPr>
              <w:t>07/04</w:t>
            </w:r>
            <w:r w:rsidRPr="004A7E5E">
              <w:rPr>
                <w:rFonts w:eastAsia="Times New Roman" w:cs="Arial"/>
                <w:szCs w:val="22"/>
                <w:lang w:eastAsia="fr-FR"/>
              </w:rPr>
              <w:t>/2026</w:t>
            </w:r>
          </w:p>
        </w:tc>
        <w:tc>
          <w:tcPr>
            <w:tcW w:w="1276" w:type="dxa"/>
            <w:tcBorders>
              <w:top w:val="single" w:sz="4" w:space="0" w:color="auto"/>
              <w:bottom w:val="single" w:sz="4" w:space="0" w:color="auto"/>
            </w:tcBorders>
          </w:tcPr>
          <w:p w14:paraId="40D6B6D5" w14:textId="77777777" w:rsidR="009F3893" w:rsidRPr="004A7E5E" w:rsidRDefault="009F3893" w:rsidP="00407A8E">
            <w:pPr>
              <w:rPr>
                <w:rFonts w:eastAsia="Times New Roman" w:cs="Arial"/>
                <w:szCs w:val="22"/>
                <w:lang w:eastAsia="fr-FR"/>
              </w:rPr>
            </w:pPr>
            <w:r w:rsidRPr="004A7E5E">
              <w:rPr>
                <w:rFonts w:eastAsia="Times New Roman" w:cs="Arial"/>
                <w:szCs w:val="22"/>
                <w:lang w:eastAsia="fr-FR"/>
              </w:rPr>
              <w:t xml:space="preserve">Version </w:t>
            </w:r>
            <w:r>
              <w:rPr>
                <w:rFonts w:eastAsia="Times New Roman" w:cs="Arial"/>
                <w:szCs w:val="22"/>
                <w:lang w:eastAsia="fr-FR"/>
              </w:rPr>
              <w:t>1</w:t>
            </w:r>
          </w:p>
        </w:tc>
      </w:tr>
    </w:tbl>
    <w:p w14:paraId="517C0D10" w14:textId="77777777" w:rsidR="007F69CD" w:rsidRPr="004A7E5E" w:rsidRDefault="007F69CD" w:rsidP="007F69CD">
      <w:pPr>
        <w:rPr>
          <w:b/>
          <w:bCs/>
          <w:szCs w:val="22"/>
        </w:rPr>
      </w:pPr>
    </w:p>
    <w:p w14:paraId="341E15F5" w14:textId="085B1FEF" w:rsidR="005C5263" w:rsidRPr="004A7E5E" w:rsidRDefault="005C5263" w:rsidP="004A7E5E">
      <w:pPr>
        <w:pStyle w:val="Titre1"/>
      </w:pPr>
      <w:bookmarkStart w:id="0" w:name="_Toc226533680"/>
      <w:r w:rsidRPr="004A7E5E">
        <w:t>Table of content</w:t>
      </w:r>
      <w:bookmarkEnd w:id="0"/>
    </w:p>
    <w:sdt>
      <w:sdtPr>
        <w:rPr>
          <w:rFonts w:asciiTheme="minorHAnsi" w:eastAsiaTheme="minorEastAsia" w:hAnsiTheme="minorHAnsi" w:cstheme="minorBidi"/>
          <w:b w:val="0"/>
          <w:bCs w:val="0"/>
          <w:iCs/>
          <w:color w:val="auto"/>
          <w:sz w:val="18"/>
          <w:szCs w:val="18"/>
          <w:lang w:val="en-GB" w:eastAsia="en-US"/>
        </w:rPr>
        <w:id w:val="-1687290397"/>
        <w:docPartObj>
          <w:docPartGallery w:val="Table of Contents"/>
          <w:docPartUnique/>
        </w:docPartObj>
      </w:sdtPr>
      <w:sdtEndPr>
        <w:rPr>
          <w:sz w:val="20"/>
          <w:szCs w:val="20"/>
          <w:lang w:val="fr-FR"/>
        </w:rPr>
      </w:sdtEndPr>
      <w:sdtContent>
        <w:p w14:paraId="1F82ECA7" w14:textId="2B0B37F1" w:rsidR="005F72C7" w:rsidRPr="004A7E5E" w:rsidRDefault="005F72C7" w:rsidP="004A7E5E">
          <w:pPr>
            <w:pStyle w:val="En-ttedetabledesmatires"/>
          </w:pPr>
        </w:p>
        <w:p w14:paraId="55C5E31E" w14:textId="3F70D665" w:rsidR="000666CD" w:rsidRDefault="005F72C7">
          <w:pPr>
            <w:pStyle w:val="TM1"/>
            <w:tabs>
              <w:tab w:val="left" w:pos="720"/>
              <w:tab w:val="right" w:leader="dot" w:pos="9062"/>
            </w:tabs>
            <w:rPr>
              <w:rFonts w:asciiTheme="minorHAnsi" w:eastAsiaTheme="minorEastAsia" w:hAnsiTheme="minorHAnsi"/>
              <w:iCs w:val="0"/>
              <w:noProof/>
              <w:kern w:val="2"/>
              <w:sz w:val="24"/>
              <w:szCs w:val="24"/>
              <w:lang w:val="fr-BE" w:eastAsia="fr-BE"/>
              <w14:ligatures w14:val="standardContextual"/>
            </w:rPr>
          </w:pPr>
          <w:r w:rsidRPr="004A7E5E">
            <w:rPr>
              <w:sz w:val="20"/>
              <w:szCs w:val="20"/>
            </w:rPr>
            <w:fldChar w:fldCharType="begin"/>
          </w:r>
          <w:r w:rsidRPr="004A7E5E">
            <w:rPr>
              <w:sz w:val="20"/>
              <w:szCs w:val="20"/>
            </w:rPr>
            <w:instrText xml:space="preserve"> TOC \o "1-3" \h \z \u </w:instrText>
          </w:r>
          <w:r w:rsidRPr="004A7E5E">
            <w:rPr>
              <w:sz w:val="20"/>
              <w:szCs w:val="20"/>
            </w:rPr>
            <w:fldChar w:fldCharType="separate"/>
          </w:r>
          <w:hyperlink w:anchor="_Toc226533680" w:history="1">
            <w:r w:rsidR="000666CD" w:rsidRPr="009820A8">
              <w:rPr>
                <w:rStyle w:val="Lienhypertexte"/>
                <w:noProof/>
              </w:rPr>
              <w:t>0.</w:t>
            </w:r>
            <w:r w:rsidR="000666CD">
              <w:rPr>
                <w:rFonts w:asciiTheme="minorHAnsi" w:eastAsiaTheme="minorEastAsia" w:hAnsiTheme="minorHAnsi"/>
                <w:iCs w:val="0"/>
                <w:noProof/>
                <w:kern w:val="2"/>
                <w:sz w:val="24"/>
                <w:szCs w:val="24"/>
                <w:lang w:val="fr-BE" w:eastAsia="fr-BE"/>
                <w14:ligatures w14:val="standardContextual"/>
              </w:rPr>
              <w:tab/>
            </w:r>
            <w:r w:rsidR="000666CD" w:rsidRPr="009820A8">
              <w:rPr>
                <w:rStyle w:val="Lienhypertexte"/>
                <w:noProof/>
              </w:rPr>
              <w:t>Table of content</w:t>
            </w:r>
            <w:r w:rsidR="000666CD">
              <w:rPr>
                <w:noProof/>
                <w:webHidden/>
              </w:rPr>
              <w:tab/>
            </w:r>
            <w:r w:rsidR="000666CD">
              <w:rPr>
                <w:noProof/>
                <w:webHidden/>
              </w:rPr>
              <w:fldChar w:fldCharType="begin"/>
            </w:r>
            <w:r w:rsidR="000666CD">
              <w:rPr>
                <w:noProof/>
                <w:webHidden/>
              </w:rPr>
              <w:instrText xml:space="preserve"> PAGEREF _Toc226533680 \h </w:instrText>
            </w:r>
            <w:r w:rsidR="000666CD">
              <w:rPr>
                <w:noProof/>
                <w:webHidden/>
              </w:rPr>
            </w:r>
            <w:r w:rsidR="000666CD">
              <w:rPr>
                <w:noProof/>
                <w:webHidden/>
              </w:rPr>
              <w:fldChar w:fldCharType="separate"/>
            </w:r>
            <w:r w:rsidR="000666CD">
              <w:rPr>
                <w:noProof/>
                <w:webHidden/>
              </w:rPr>
              <w:t>1</w:t>
            </w:r>
            <w:r w:rsidR="000666CD">
              <w:rPr>
                <w:noProof/>
                <w:webHidden/>
              </w:rPr>
              <w:fldChar w:fldCharType="end"/>
            </w:r>
          </w:hyperlink>
        </w:p>
        <w:p w14:paraId="23A6D236" w14:textId="601C49AD" w:rsidR="000666CD" w:rsidRDefault="000666CD">
          <w:pPr>
            <w:pStyle w:val="TM1"/>
            <w:tabs>
              <w:tab w:val="left" w:pos="720"/>
              <w:tab w:val="right" w:leader="dot" w:pos="9062"/>
            </w:tabs>
            <w:rPr>
              <w:rFonts w:asciiTheme="minorHAnsi" w:eastAsiaTheme="minorEastAsia" w:hAnsiTheme="minorHAnsi"/>
              <w:iCs w:val="0"/>
              <w:noProof/>
              <w:kern w:val="2"/>
              <w:sz w:val="24"/>
              <w:szCs w:val="24"/>
              <w:lang w:val="fr-BE" w:eastAsia="fr-BE"/>
              <w14:ligatures w14:val="standardContextual"/>
            </w:rPr>
          </w:pPr>
          <w:hyperlink w:anchor="_Toc226533681" w:history="1">
            <w:r w:rsidRPr="009820A8">
              <w:rPr>
                <w:rStyle w:val="Lienhypertexte"/>
                <w:noProof/>
              </w:rPr>
              <w:t>1.</w:t>
            </w:r>
            <w:r>
              <w:rPr>
                <w:rFonts w:asciiTheme="minorHAnsi" w:eastAsiaTheme="minorEastAsia" w:hAnsiTheme="minorHAnsi"/>
                <w:iCs w:val="0"/>
                <w:noProof/>
                <w:kern w:val="2"/>
                <w:sz w:val="24"/>
                <w:szCs w:val="24"/>
                <w:lang w:val="fr-BE" w:eastAsia="fr-BE"/>
                <w14:ligatures w14:val="standardContextual"/>
              </w:rPr>
              <w:tab/>
            </w:r>
            <w:r w:rsidRPr="009820A8">
              <w:rPr>
                <w:rStyle w:val="Lienhypertexte"/>
                <w:noProof/>
              </w:rPr>
              <w:t>Introduction</w:t>
            </w:r>
            <w:r>
              <w:rPr>
                <w:noProof/>
                <w:webHidden/>
              </w:rPr>
              <w:tab/>
            </w:r>
            <w:r>
              <w:rPr>
                <w:noProof/>
                <w:webHidden/>
              </w:rPr>
              <w:fldChar w:fldCharType="begin"/>
            </w:r>
            <w:r>
              <w:rPr>
                <w:noProof/>
                <w:webHidden/>
              </w:rPr>
              <w:instrText xml:space="preserve"> PAGEREF _Toc226533681 \h </w:instrText>
            </w:r>
            <w:r>
              <w:rPr>
                <w:noProof/>
                <w:webHidden/>
              </w:rPr>
            </w:r>
            <w:r>
              <w:rPr>
                <w:noProof/>
                <w:webHidden/>
              </w:rPr>
              <w:fldChar w:fldCharType="separate"/>
            </w:r>
            <w:r>
              <w:rPr>
                <w:noProof/>
                <w:webHidden/>
              </w:rPr>
              <w:t>2</w:t>
            </w:r>
            <w:r>
              <w:rPr>
                <w:noProof/>
                <w:webHidden/>
              </w:rPr>
              <w:fldChar w:fldCharType="end"/>
            </w:r>
          </w:hyperlink>
        </w:p>
        <w:p w14:paraId="51DB3310" w14:textId="0AF776E1" w:rsidR="000666CD" w:rsidRDefault="000666CD">
          <w:pPr>
            <w:pStyle w:val="TM1"/>
            <w:tabs>
              <w:tab w:val="left" w:pos="720"/>
              <w:tab w:val="right" w:leader="dot" w:pos="9062"/>
            </w:tabs>
            <w:rPr>
              <w:rFonts w:asciiTheme="minorHAnsi" w:eastAsiaTheme="minorEastAsia" w:hAnsiTheme="minorHAnsi"/>
              <w:iCs w:val="0"/>
              <w:noProof/>
              <w:kern w:val="2"/>
              <w:sz w:val="24"/>
              <w:szCs w:val="24"/>
              <w:lang w:val="fr-BE" w:eastAsia="fr-BE"/>
              <w14:ligatures w14:val="standardContextual"/>
            </w:rPr>
          </w:pPr>
          <w:hyperlink w:anchor="_Toc226533682" w:history="1">
            <w:r w:rsidRPr="009820A8">
              <w:rPr>
                <w:rStyle w:val="Lienhypertexte"/>
                <w:noProof/>
              </w:rPr>
              <w:t>2.</w:t>
            </w:r>
            <w:r>
              <w:rPr>
                <w:rFonts w:asciiTheme="minorHAnsi" w:eastAsiaTheme="minorEastAsia" w:hAnsiTheme="minorHAnsi"/>
                <w:iCs w:val="0"/>
                <w:noProof/>
                <w:kern w:val="2"/>
                <w:sz w:val="24"/>
                <w:szCs w:val="24"/>
                <w:lang w:val="fr-BE" w:eastAsia="fr-BE"/>
                <w14:ligatures w14:val="standardContextual"/>
              </w:rPr>
              <w:tab/>
            </w:r>
            <w:r w:rsidRPr="009820A8">
              <w:rPr>
                <w:rStyle w:val="Lienhypertexte"/>
                <w:noProof/>
              </w:rPr>
              <w:t>Governance</w:t>
            </w:r>
            <w:r>
              <w:rPr>
                <w:noProof/>
                <w:webHidden/>
              </w:rPr>
              <w:tab/>
            </w:r>
            <w:r>
              <w:rPr>
                <w:noProof/>
                <w:webHidden/>
              </w:rPr>
              <w:fldChar w:fldCharType="begin"/>
            </w:r>
            <w:r>
              <w:rPr>
                <w:noProof/>
                <w:webHidden/>
              </w:rPr>
              <w:instrText xml:space="preserve"> PAGEREF _Toc226533682 \h </w:instrText>
            </w:r>
            <w:r>
              <w:rPr>
                <w:noProof/>
                <w:webHidden/>
              </w:rPr>
            </w:r>
            <w:r>
              <w:rPr>
                <w:noProof/>
                <w:webHidden/>
              </w:rPr>
              <w:fldChar w:fldCharType="separate"/>
            </w:r>
            <w:r>
              <w:rPr>
                <w:noProof/>
                <w:webHidden/>
              </w:rPr>
              <w:t>3</w:t>
            </w:r>
            <w:r>
              <w:rPr>
                <w:noProof/>
                <w:webHidden/>
              </w:rPr>
              <w:fldChar w:fldCharType="end"/>
            </w:r>
          </w:hyperlink>
        </w:p>
        <w:p w14:paraId="6142D7A9" w14:textId="35018E64" w:rsidR="000666CD" w:rsidRDefault="000666CD">
          <w:pPr>
            <w:pStyle w:val="TM2"/>
            <w:tabs>
              <w:tab w:val="left" w:pos="960"/>
              <w:tab w:val="right" w:leader="dot" w:pos="9062"/>
            </w:tabs>
            <w:rPr>
              <w:rFonts w:asciiTheme="minorHAnsi" w:eastAsiaTheme="minorEastAsia" w:hAnsiTheme="minorHAnsi"/>
              <w:iCs w:val="0"/>
              <w:noProof/>
              <w:kern w:val="2"/>
              <w:sz w:val="24"/>
              <w:szCs w:val="24"/>
              <w:lang w:val="fr-BE" w:eastAsia="fr-BE"/>
              <w14:ligatures w14:val="standardContextual"/>
            </w:rPr>
          </w:pPr>
          <w:hyperlink w:anchor="_Toc226533683" w:history="1">
            <w:r w:rsidRPr="009820A8">
              <w:rPr>
                <w:rStyle w:val="Lienhypertexte"/>
                <w:noProof/>
              </w:rPr>
              <w:t>2.1.</w:t>
            </w:r>
            <w:r>
              <w:rPr>
                <w:rFonts w:asciiTheme="minorHAnsi" w:eastAsiaTheme="minorEastAsia" w:hAnsiTheme="minorHAnsi"/>
                <w:iCs w:val="0"/>
                <w:noProof/>
                <w:kern w:val="2"/>
                <w:sz w:val="24"/>
                <w:szCs w:val="24"/>
                <w:lang w:val="fr-BE" w:eastAsia="fr-BE"/>
                <w14:ligatures w14:val="standardContextual"/>
              </w:rPr>
              <w:tab/>
            </w:r>
            <w:r w:rsidRPr="009820A8">
              <w:rPr>
                <w:rStyle w:val="Lienhypertexte"/>
                <w:noProof/>
              </w:rPr>
              <w:t>Strengthening Union governance through a Medical Devices Coordination Office (MDCO)</w:t>
            </w:r>
            <w:r>
              <w:rPr>
                <w:noProof/>
                <w:webHidden/>
              </w:rPr>
              <w:tab/>
            </w:r>
            <w:r>
              <w:rPr>
                <w:noProof/>
                <w:webHidden/>
              </w:rPr>
              <w:fldChar w:fldCharType="begin"/>
            </w:r>
            <w:r>
              <w:rPr>
                <w:noProof/>
                <w:webHidden/>
              </w:rPr>
              <w:instrText xml:space="preserve"> PAGEREF _Toc226533683 \h </w:instrText>
            </w:r>
            <w:r>
              <w:rPr>
                <w:noProof/>
                <w:webHidden/>
              </w:rPr>
            </w:r>
            <w:r>
              <w:rPr>
                <w:noProof/>
                <w:webHidden/>
              </w:rPr>
              <w:fldChar w:fldCharType="separate"/>
            </w:r>
            <w:r>
              <w:rPr>
                <w:noProof/>
                <w:webHidden/>
              </w:rPr>
              <w:t>3</w:t>
            </w:r>
            <w:r>
              <w:rPr>
                <w:noProof/>
                <w:webHidden/>
              </w:rPr>
              <w:fldChar w:fldCharType="end"/>
            </w:r>
          </w:hyperlink>
        </w:p>
        <w:p w14:paraId="5C5848FB" w14:textId="485C4953" w:rsidR="000666CD" w:rsidRDefault="000666CD">
          <w:pPr>
            <w:pStyle w:val="TM2"/>
            <w:tabs>
              <w:tab w:val="left" w:pos="960"/>
              <w:tab w:val="right" w:leader="dot" w:pos="9062"/>
            </w:tabs>
            <w:rPr>
              <w:rFonts w:asciiTheme="minorHAnsi" w:eastAsiaTheme="minorEastAsia" w:hAnsiTheme="minorHAnsi"/>
              <w:iCs w:val="0"/>
              <w:noProof/>
              <w:kern w:val="2"/>
              <w:sz w:val="24"/>
              <w:szCs w:val="24"/>
              <w:lang w:val="fr-BE" w:eastAsia="fr-BE"/>
              <w14:ligatures w14:val="standardContextual"/>
            </w:rPr>
          </w:pPr>
          <w:hyperlink w:anchor="_Toc226533684" w:history="1">
            <w:r w:rsidRPr="009820A8">
              <w:rPr>
                <w:rStyle w:val="Lienhypertexte"/>
                <w:noProof/>
              </w:rPr>
              <w:t>2.2.</w:t>
            </w:r>
            <w:r>
              <w:rPr>
                <w:rFonts w:asciiTheme="minorHAnsi" w:eastAsiaTheme="minorEastAsia" w:hAnsiTheme="minorHAnsi"/>
                <w:iCs w:val="0"/>
                <w:noProof/>
                <w:kern w:val="2"/>
                <w:sz w:val="24"/>
                <w:szCs w:val="24"/>
                <w:lang w:val="fr-BE" w:eastAsia="fr-BE"/>
                <w14:ligatures w14:val="standardContextual"/>
              </w:rPr>
              <w:tab/>
            </w:r>
            <w:r w:rsidRPr="009820A8">
              <w:rPr>
                <w:rStyle w:val="Lienhypertexte"/>
                <w:noProof/>
              </w:rPr>
              <w:t>Establish a clear governance model for expert panels</w:t>
            </w:r>
            <w:r>
              <w:rPr>
                <w:noProof/>
                <w:webHidden/>
              </w:rPr>
              <w:tab/>
            </w:r>
            <w:r>
              <w:rPr>
                <w:noProof/>
                <w:webHidden/>
              </w:rPr>
              <w:fldChar w:fldCharType="begin"/>
            </w:r>
            <w:r>
              <w:rPr>
                <w:noProof/>
                <w:webHidden/>
              </w:rPr>
              <w:instrText xml:space="preserve"> PAGEREF _Toc226533684 \h </w:instrText>
            </w:r>
            <w:r>
              <w:rPr>
                <w:noProof/>
                <w:webHidden/>
              </w:rPr>
            </w:r>
            <w:r>
              <w:rPr>
                <w:noProof/>
                <w:webHidden/>
              </w:rPr>
              <w:fldChar w:fldCharType="separate"/>
            </w:r>
            <w:r>
              <w:rPr>
                <w:noProof/>
                <w:webHidden/>
              </w:rPr>
              <w:t>5</w:t>
            </w:r>
            <w:r>
              <w:rPr>
                <w:noProof/>
                <w:webHidden/>
              </w:rPr>
              <w:fldChar w:fldCharType="end"/>
            </w:r>
          </w:hyperlink>
        </w:p>
        <w:p w14:paraId="41F4B62D" w14:textId="1D001E8B" w:rsidR="000666CD" w:rsidRDefault="000666CD">
          <w:pPr>
            <w:pStyle w:val="TM2"/>
            <w:tabs>
              <w:tab w:val="left" w:pos="960"/>
              <w:tab w:val="right" w:leader="dot" w:pos="9062"/>
            </w:tabs>
            <w:rPr>
              <w:rFonts w:asciiTheme="minorHAnsi" w:eastAsiaTheme="minorEastAsia" w:hAnsiTheme="minorHAnsi"/>
              <w:iCs w:val="0"/>
              <w:noProof/>
              <w:kern w:val="2"/>
              <w:sz w:val="24"/>
              <w:szCs w:val="24"/>
              <w:lang w:val="fr-BE" w:eastAsia="fr-BE"/>
              <w14:ligatures w14:val="standardContextual"/>
            </w:rPr>
          </w:pPr>
          <w:hyperlink w:anchor="_Toc226533685" w:history="1">
            <w:r w:rsidRPr="009820A8">
              <w:rPr>
                <w:rStyle w:val="Lienhypertexte"/>
                <w:noProof/>
              </w:rPr>
              <w:t>2.3.</w:t>
            </w:r>
            <w:r>
              <w:rPr>
                <w:rFonts w:asciiTheme="minorHAnsi" w:eastAsiaTheme="minorEastAsia" w:hAnsiTheme="minorHAnsi"/>
                <w:iCs w:val="0"/>
                <w:noProof/>
                <w:kern w:val="2"/>
                <w:sz w:val="24"/>
                <w:szCs w:val="24"/>
                <w:lang w:val="fr-BE" w:eastAsia="fr-BE"/>
                <w14:ligatures w14:val="standardContextual"/>
              </w:rPr>
              <w:tab/>
            </w:r>
            <w:r w:rsidRPr="009820A8">
              <w:rPr>
                <w:rStyle w:val="Lienhypertexte"/>
                <w:noProof/>
              </w:rPr>
              <w:t>Allow NB personnel to contribute under strict independence and impartiality safeguards</w:t>
            </w:r>
            <w:r>
              <w:rPr>
                <w:noProof/>
                <w:webHidden/>
              </w:rPr>
              <w:tab/>
            </w:r>
            <w:r>
              <w:rPr>
                <w:noProof/>
                <w:webHidden/>
              </w:rPr>
              <w:fldChar w:fldCharType="begin"/>
            </w:r>
            <w:r>
              <w:rPr>
                <w:noProof/>
                <w:webHidden/>
              </w:rPr>
              <w:instrText xml:space="preserve"> PAGEREF _Toc226533685 \h </w:instrText>
            </w:r>
            <w:r>
              <w:rPr>
                <w:noProof/>
                <w:webHidden/>
              </w:rPr>
            </w:r>
            <w:r>
              <w:rPr>
                <w:noProof/>
                <w:webHidden/>
              </w:rPr>
              <w:fldChar w:fldCharType="separate"/>
            </w:r>
            <w:r>
              <w:rPr>
                <w:noProof/>
                <w:webHidden/>
              </w:rPr>
              <w:t>6</w:t>
            </w:r>
            <w:r>
              <w:rPr>
                <w:noProof/>
                <w:webHidden/>
              </w:rPr>
              <w:fldChar w:fldCharType="end"/>
            </w:r>
          </w:hyperlink>
        </w:p>
        <w:p w14:paraId="63FDB2E3" w14:textId="3056BC39" w:rsidR="000666CD" w:rsidRDefault="000666CD">
          <w:pPr>
            <w:pStyle w:val="TM2"/>
            <w:tabs>
              <w:tab w:val="left" w:pos="960"/>
              <w:tab w:val="right" w:leader="dot" w:pos="9062"/>
            </w:tabs>
            <w:rPr>
              <w:rFonts w:asciiTheme="minorHAnsi" w:eastAsiaTheme="minorEastAsia" w:hAnsiTheme="minorHAnsi"/>
              <w:iCs w:val="0"/>
              <w:noProof/>
              <w:kern w:val="2"/>
              <w:sz w:val="24"/>
              <w:szCs w:val="24"/>
              <w:lang w:val="fr-BE" w:eastAsia="fr-BE"/>
              <w14:ligatures w14:val="standardContextual"/>
            </w:rPr>
          </w:pPr>
          <w:hyperlink w:anchor="_Toc226533686" w:history="1">
            <w:r w:rsidRPr="009820A8">
              <w:rPr>
                <w:rStyle w:val="Lienhypertexte"/>
                <w:noProof/>
              </w:rPr>
              <w:t>2.4.</w:t>
            </w:r>
            <w:r>
              <w:rPr>
                <w:rFonts w:asciiTheme="minorHAnsi" w:eastAsiaTheme="minorEastAsia" w:hAnsiTheme="minorHAnsi"/>
                <w:iCs w:val="0"/>
                <w:noProof/>
                <w:kern w:val="2"/>
                <w:sz w:val="24"/>
                <w:szCs w:val="24"/>
                <w:lang w:val="fr-BE" w:eastAsia="fr-BE"/>
                <w14:ligatures w14:val="standardContextual"/>
              </w:rPr>
              <w:tab/>
            </w:r>
            <w:r w:rsidRPr="009820A8">
              <w:rPr>
                <w:rStyle w:val="Lienhypertexte"/>
                <w:noProof/>
              </w:rPr>
              <w:t>Standing expert panels for BtX, Orphan, and Borderline &amp; Classification Functions</w:t>
            </w:r>
            <w:r>
              <w:rPr>
                <w:noProof/>
                <w:webHidden/>
              </w:rPr>
              <w:tab/>
            </w:r>
            <w:r>
              <w:rPr>
                <w:noProof/>
                <w:webHidden/>
              </w:rPr>
              <w:fldChar w:fldCharType="begin"/>
            </w:r>
            <w:r>
              <w:rPr>
                <w:noProof/>
                <w:webHidden/>
              </w:rPr>
              <w:instrText xml:space="preserve"> PAGEREF _Toc226533686 \h </w:instrText>
            </w:r>
            <w:r>
              <w:rPr>
                <w:noProof/>
                <w:webHidden/>
              </w:rPr>
            </w:r>
            <w:r>
              <w:rPr>
                <w:noProof/>
                <w:webHidden/>
              </w:rPr>
              <w:fldChar w:fldCharType="separate"/>
            </w:r>
            <w:r>
              <w:rPr>
                <w:noProof/>
                <w:webHidden/>
              </w:rPr>
              <w:t>7</w:t>
            </w:r>
            <w:r>
              <w:rPr>
                <w:noProof/>
                <w:webHidden/>
              </w:rPr>
              <w:fldChar w:fldCharType="end"/>
            </w:r>
          </w:hyperlink>
        </w:p>
        <w:p w14:paraId="16C4A6CD" w14:textId="5BB3C9EC" w:rsidR="000666CD" w:rsidRDefault="000666CD">
          <w:pPr>
            <w:pStyle w:val="TM2"/>
            <w:tabs>
              <w:tab w:val="left" w:pos="960"/>
              <w:tab w:val="right" w:leader="dot" w:pos="9062"/>
            </w:tabs>
            <w:rPr>
              <w:rFonts w:asciiTheme="minorHAnsi" w:eastAsiaTheme="minorEastAsia" w:hAnsiTheme="minorHAnsi"/>
              <w:iCs w:val="0"/>
              <w:noProof/>
              <w:kern w:val="2"/>
              <w:sz w:val="24"/>
              <w:szCs w:val="24"/>
              <w:lang w:val="fr-BE" w:eastAsia="fr-BE"/>
              <w14:ligatures w14:val="standardContextual"/>
            </w:rPr>
          </w:pPr>
          <w:hyperlink w:anchor="_Toc226533687" w:history="1">
            <w:r w:rsidRPr="009820A8">
              <w:rPr>
                <w:rStyle w:val="Lienhypertexte"/>
                <w:noProof/>
              </w:rPr>
              <w:t>2.5.</w:t>
            </w:r>
            <w:r>
              <w:rPr>
                <w:rFonts w:asciiTheme="minorHAnsi" w:eastAsiaTheme="minorEastAsia" w:hAnsiTheme="minorHAnsi"/>
                <w:iCs w:val="0"/>
                <w:noProof/>
                <w:kern w:val="2"/>
                <w:sz w:val="24"/>
                <w:szCs w:val="24"/>
                <w:lang w:val="fr-BE" w:eastAsia="fr-BE"/>
                <w14:ligatures w14:val="standardContextual"/>
              </w:rPr>
              <w:tab/>
            </w:r>
            <w:r w:rsidRPr="009820A8">
              <w:rPr>
                <w:rStyle w:val="Lienhypertexte"/>
                <w:noProof/>
              </w:rPr>
              <w:t>Allow utilization of external expertise for rare or highly specialised IVDs and medical devices</w:t>
            </w:r>
            <w:r>
              <w:rPr>
                <w:noProof/>
                <w:webHidden/>
              </w:rPr>
              <w:tab/>
            </w:r>
            <w:r>
              <w:rPr>
                <w:noProof/>
                <w:webHidden/>
              </w:rPr>
              <w:fldChar w:fldCharType="begin"/>
            </w:r>
            <w:r>
              <w:rPr>
                <w:noProof/>
                <w:webHidden/>
              </w:rPr>
              <w:instrText xml:space="preserve"> PAGEREF _Toc226533687 \h </w:instrText>
            </w:r>
            <w:r>
              <w:rPr>
                <w:noProof/>
                <w:webHidden/>
              </w:rPr>
            </w:r>
            <w:r>
              <w:rPr>
                <w:noProof/>
                <w:webHidden/>
              </w:rPr>
              <w:fldChar w:fldCharType="separate"/>
            </w:r>
            <w:r>
              <w:rPr>
                <w:noProof/>
                <w:webHidden/>
              </w:rPr>
              <w:t>10</w:t>
            </w:r>
            <w:r>
              <w:rPr>
                <w:noProof/>
                <w:webHidden/>
              </w:rPr>
              <w:fldChar w:fldCharType="end"/>
            </w:r>
          </w:hyperlink>
        </w:p>
        <w:p w14:paraId="113FD560" w14:textId="5A5B172A" w:rsidR="000666CD" w:rsidRDefault="000666CD">
          <w:pPr>
            <w:pStyle w:val="TM2"/>
            <w:tabs>
              <w:tab w:val="left" w:pos="960"/>
              <w:tab w:val="right" w:leader="dot" w:pos="9062"/>
            </w:tabs>
            <w:rPr>
              <w:rFonts w:asciiTheme="minorHAnsi" w:eastAsiaTheme="minorEastAsia" w:hAnsiTheme="minorHAnsi"/>
              <w:iCs w:val="0"/>
              <w:noProof/>
              <w:kern w:val="2"/>
              <w:sz w:val="24"/>
              <w:szCs w:val="24"/>
              <w:lang w:val="fr-BE" w:eastAsia="fr-BE"/>
              <w14:ligatures w14:val="standardContextual"/>
            </w:rPr>
          </w:pPr>
          <w:hyperlink w:anchor="_Toc226533688" w:history="1">
            <w:r w:rsidRPr="009820A8">
              <w:rPr>
                <w:rStyle w:val="Lienhypertexte"/>
                <w:noProof/>
              </w:rPr>
              <w:t>2.6.</w:t>
            </w:r>
            <w:r>
              <w:rPr>
                <w:rFonts w:asciiTheme="minorHAnsi" w:eastAsiaTheme="minorEastAsia" w:hAnsiTheme="minorHAnsi"/>
                <w:iCs w:val="0"/>
                <w:noProof/>
                <w:kern w:val="2"/>
                <w:sz w:val="24"/>
                <w:szCs w:val="24"/>
                <w:lang w:val="fr-BE" w:eastAsia="fr-BE"/>
                <w14:ligatures w14:val="standardContextual"/>
              </w:rPr>
              <w:tab/>
            </w:r>
            <w:r w:rsidRPr="009820A8">
              <w:rPr>
                <w:rStyle w:val="Lienhypertexte"/>
                <w:noProof/>
              </w:rPr>
              <w:t>Allow transparency and exchange between NBs and Expert Panels</w:t>
            </w:r>
            <w:r>
              <w:rPr>
                <w:noProof/>
                <w:webHidden/>
              </w:rPr>
              <w:tab/>
            </w:r>
            <w:r>
              <w:rPr>
                <w:noProof/>
                <w:webHidden/>
              </w:rPr>
              <w:fldChar w:fldCharType="begin"/>
            </w:r>
            <w:r>
              <w:rPr>
                <w:noProof/>
                <w:webHidden/>
              </w:rPr>
              <w:instrText xml:space="preserve"> PAGEREF _Toc226533688 \h </w:instrText>
            </w:r>
            <w:r>
              <w:rPr>
                <w:noProof/>
                <w:webHidden/>
              </w:rPr>
            </w:r>
            <w:r>
              <w:rPr>
                <w:noProof/>
                <w:webHidden/>
              </w:rPr>
              <w:fldChar w:fldCharType="separate"/>
            </w:r>
            <w:r>
              <w:rPr>
                <w:noProof/>
                <w:webHidden/>
              </w:rPr>
              <w:t>10</w:t>
            </w:r>
            <w:r>
              <w:rPr>
                <w:noProof/>
                <w:webHidden/>
              </w:rPr>
              <w:fldChar w:fldCharType="end"/>
            </w:r>
          </w:hyperlink>
        </w:p>
        <w:p w14:paraId="58E9819D" w14:textId="222B7A75" w:rsidR="000666CD" w:rsidRDefault="000666CD">
          <w:pPr>
            <w:pStyle w:val="TM2"/>
            <w:tabs>
              <w:tab w:val="left" w:pos="960"/>
              <w:tab w:val="right" w:leader="dot" w:pos="9062"/>
            </w:tabs>
            <w:rPr>
              <w:rFonts w:asciiTheme="minorHAnsi" w:eastAsiaTheme="minorEastAsia" w:hAnsiTheme="minorHAnsi"/>
              <w:iCs w:val="0"/>
              <w:noProof/>
              <w:kern w:val="2"/>
              <w:sz w:val="24"/>
              <w:szCs w:val="24"/>
              <w:lang w:val="fr-BE" w:eastAsia="fr-BE"/>
              <w14:ligatures w14:val="standardContextual"/>
            </w:rPr>
          </w:pPr>
          <w:hyperlink w:anchor="_Toc226533689" w:history="1">
            <w:r w:rsidRPr="009820A8">
              <w:rPr>
                <w:rStyle w:val="Lienhypertexte"/>
                <w:noProof/>
              </w:rPr>
              <w:t>2.7.</w:t>
            </w:r>
            <w:r>
              <w:rPr>
                <w:rFonts w:asciiTheme="minorHAnsi" w:eastAsiaTheme="minorEastAsia" w:hAnsiTheme="minorHAnsi"/>
                <w:iCs w:val="0"/>
                <w:noProof/>
                <w:kern w:val="2"/>
                <w:sz w:val="24"/>
                <w:szCs w:val="24"/>
                <w:lang w:val="fr-BE" w:eastAsia="fr-BE"/>
                <w14:ligatures w14:val="standardContextual"/>
              </w:rPr>
              <w:tab/>
            </w:r>
            <w:r w:rsidRPr="009820A8">
              <w:rPr>
                <w:rStyle w:val="Lienhypertexte"/>
                <w:noProof/>
              </w:rPr>
              <w:t>Reconsider methodology for literature screening and NBCG-Med work sharing</w:t>
            </w:r>
            <w:r>
              <w:rPr>
                <w:noProof/>
                <w:webHidden/>
              </w:rPr>
              <w:tab/>
            </w:r>
            <w:r>
              <w:rPr>
                <w:noProof/>
                <w:webHidden/>
              </w:rPr>
              <w:fldChar w:fldCharType="begin"/>
            </w:r>
            <w:r>
              <w:rPr>
                <w:noProof/>
                <w:webHidden/>
              </w:rPr>
              <w:instrText xml:space="preserve"> PAGEREF _Toc226533689 \h </w:instrText>
            </w:r>
            <w:r>
              <w:rPr>
                <w:noProof/>
                <w:webHidden/>
              </w:rPr>
            </w:r>
            <w:r>
              <w:rPr>
                <w:noProof/>
                <w:webHidden/>
              </w:rPr>
              <w:fldChar w:fldCharType="separate"/>
            </w:r>
            <w:r>
              <w:rPr>
                <w:noProof/>
                <w:webHidden/>
              </w:rPr>
              <w:t>11</w:t>
            </w:r>
            <w:r>
              <w:rPr>
                <w:noProof/>
                <w:webHidden/>
              </w:rPr>
              <w:fldChar w:fldCharType="end"/>
            </w:r>
          </w:hyperlink>
        </w:p>
        <w:p w14:paraId="111E57A7" w14:textId="6569A4C0" w:rsidR="000666CD" w:rsidRDefault="000666CD">
          <w:pPr>
            <w:pStyle w:val="TM2"/>
            <w:tabs>
              <w:tab w:val="left" w:pos="960"/>
              <w:tab w:val="right" w:leader="dot" w:pos="9062"/>
            </w:tabs>
            <w:rPr>
              <w:rFonts w:asciiTheme="minorHAnsi" w:eastAsiaTheme="minorEastAsia" w:hAnsiTheme="minorHAnsi"/>
              <w:iCs w:val="0"/>
              <w:noProof/>
              <w:kern w:val="2"/>
              <w:sz w:val="24"/>
              <w:szCs w:val="24"/>
              <w:lang w:val="fr-BE" w:eastAsia="fr-BE"/>
              <w14:ligatures w14:val="standardContextual"/>
            </w:rPr>
          </w:pPr>
          <w:hyperlink w:anchor="_Toc226533690" w:history="1">
            <w:r w:rsidRPr="009820A8">
              <w:rPr>
                <w:rStyle w:val="Lienhypertexte"/>
                <w:noProof/>
              </w:rPr>
              <w:t>2.8.</w:t>
            </w:r>
            <w:r>
              <w:rPr>
                <w:rFonts w:asciiTheme="minorHAnsi" w:eastAsiaTheme="minorEastAsia" w:hAnsiTheme="minorHAnsi"/>
                <w:iCs w:val="0"/>
                <w:noProof/>
                <w:kern w:val="2"/>
                <w:sz w:val="24"/>
                <w:szCs w:val="24"/>
                <w:lang w:val="fr-BE" w:eastAsia="fr-BE"/>
                <w14:ligatures w14:val="standardContextual"/>
              </w:rPr>
              <w:tab/>
            </w:r>
            <w:r w:rsidRPr="009820A8">
              <w:rPr>
                <w:rStyle w:val="Lienhypertexte"/>
                <w:noProof/>
              </w:rPr>
              <w:t>Clarification of role of NBCG-Med within the MDCG Structure</w:t>
            </w:r>
            <w:r>
              <w:rPr>
                <w:noProof/>
                <w:webHidden/>
              </w:rPr>
              <w:tab/>
            </w:r>
            <w:r>
              <w:rPr>
                <w:noProof/>
                <w:webHidden/>
              </w:rPr>
              <w:fldChar w:fldCharType="begin"/>
            </w:r>
            <w:r>
              <w:rPr>
                <w:noProof/>
                <w:webHidden/>
              </w:rPr>
              <w:instrText xml:space="preserve"> PAGEREF _Toc226533690 \h </w:instrText>
            </w:r>
            <w:r>
              <w:rPr>
                <w:noProof/>
                <w:webHidden/>
              </w:rPr>
            </w:r>
            <w:r>
              <w:rPr>
                <w:noProof/>
                <w:webHidden/>
              </w:rPr>
              <w:fldChar w:fldCharType="separate"/>
            </w:r>
            <w:r>
              <w:rPr>
                <w:noProof/>
                <w:webHidden/>
              </w:rPr>
              <w:t>11</w:t>
            </w:r>
            <w:r>
              <w:rPr>
                <w:noProof/>
                <w:webHidden/>
              </w:rPr>
              <w:fldChar w:fldCharType="end"/>
            </w:r>
          </w:hyperlink>
        </w:p>
        <w:p w14:paraId="54155F8F" w14:textId="23435E1D" w:rsidR="000666CD" w:rsidRDefault="000666CD">
          <w:pPr>
            <w:pStyle w:val="TM1"/>
            <w:tabs>
              <w:tab w:val="left" w:pos="720"/>
              <w:tab w:val="right" w:leader="dot" w:pos="9062"/>
            </w:tabs>
            <w:rPr>
              <w:rFonts w:asciiTheme="minorHAnsi" w:eastAsiaTheme="minorEastAsia" w:hAnsiTheme="minorHAnsi"/>
              <w:iCs w:val="0"/>
              <w:noProof/>
              <w:kern w:val="2"/>
              <w:sz w:val="24"/>
              <w:szCs w:val="24"/>
              <w:lang w:val="fr-BE" w:eastAsia="fr-BE"/>
              <w14:ligatures w14:val="standardContextual"/>
            </w:rPr>
          </w:pPr>
          <w:hyperlink w:anchor="_Toc226533691" w:history="1">
            <w:r w:rsidRPr="009820A8">
              <w:rPr>
                <w:rStyle w:val="Lienhypertexte"/>
                <w:noProof/>
              </w:rPr>
              <w:t>3.</w:t>
            </w:r>
            <w:r>
              <w:rPr>
                <w:rFonts w:asciiTheme="minorHAnsi" w:eastAsiaTheme="minorEastAsia" w:hAnsiTheme="minorHAnsi"/>
                <w:iCs w:val="0"/>
                <w:noProof/>
                <w:kern w:val="2"/>
                <w:sz w:val="24"/>
                <w:szCs w:val="24"/>
                <w:lang w:val="fr-BE" w:eastAsia="fr-BE"/>
                <w14:ligatures w14:val="standardContextual"/>
              </w:rPr>
              <w:tab/>
            </w:r>
            <w:r w:rsidRPr="009820A8">
              <w:rPr>
                <w:rStyle w:val="Lienhypertexte"/>
                <w:noProof/>
              </w:rPr>
              <w:t>Clinical – WET – Equivalence – Art 61(10)</w:t>
            </w:r>
            <w:r>
              <w:rPr>
                <w:noProof/>
                <w:webHidden/>
              </w:rPr>
              <w:tab/>
            </w:r>
            <w:r>
              <w:rPr>
                <w:noProof/>
                <w:webHidden/>
              </w:rPr>
              <w:fldChar w:fldCharType="begin"/>
            </w:r>
            <w:r>
              <w:rPr>
                <w:noProof/>
                <w:webHidden/>
              </w:rPr>
              <w:instrText xml:space="preserve"> PAGEREF _Toc226533691 \h </w:instrText>
            </w:r>
            <w:r>
              <w:rPr>
                <w:noProof/>
                <w:webHidden/>
              </w:rPr>
            </w:r>
            <w:r>
              <w:rPr>
                <w:noProof/>
                <w:webHidden/>
              </w:rPr>
              <w:fldChar w:fldCharType="separate"/>
            </w:r>
            <w:r>
              <w:rPr>
                <w:noProof/>
                <w:webHidden/>
              </w:rPr>
              <w:t>12</w:t>
            </w:r>
            <w:r>
              <w:rPr>
                <w:noProof/>
                <w:webHidden/>
              </w:rPr>
              <w:fldChar w:fldCharType="end"/>
            </w:r>
          </w:hyperlink>
        </w:p>
        <w:p w14:paraId="52FFCC23" w14:textId="078DA08A" w:rsidR="000666CD" w:rsidRDefault="000666CD">
          <w:pPr>
            <w:pStyle w:val="TM2"/>
            <w:tabs>
              <w:tab w:val="left" w:pos="960"/>
              <w:tab w:val="right" w:leader="dot" w:pos="9062"/>
            </w:tabs>
            <w:rPr>
              <w:rFonts w:asciiTheme="minorHAnsi" w:eastAsiaTheme="minorEastAsia" w:hAnsiTheme="minorHAnsi"/>
              <w:iCs w:val="0"/>
              <w:noProof/>
              <w:kern w:val="2"/>
              <w:sz w:val="24"/>
              <w:szCs w:val="24"/>
              <w:lang w:val="fr-BE" w:eastAsia="fr-BE"/>
              <w14:ligatures w14:val="standardContextual"/>
            </w:rPr>
          </w:pPr>
          <w:hyperlink w:anchor="_Toc226533692" w:history="1">
            <w:r w:rsidRPr="009820A8">
              <w:rPr>
                <w:rStyle w:val="Lienhypertexte"/>
                <w:noProof/>
              </w:rPr>
              <w:t>3.1.</w:t>
            </w:r>
            <w:r>
              <w:rPr>
                <w:rFonts w:asciiTheme="minorHAnsi" w:eastAsiaTheme="minorEastAsia" w:hAnsiTheme="minorHAnsi"/>
                <w:iCs w:val="0"/>
                <w:noProof/>
                <w:kern w:val="2"/>
                <w:sz w:val="24"/>
                <w:szCs w:val="24"/>
                <w:lang w:val="fr-BE" w:eastAsia="fr-BE"/>
                <w14:ligatures w14:val="standardContextual"/>
              </w:rPr>
              <w:tab/>
            </w:r>
            <w:r w:rsidRPr="009820A8">
              <w:rPr>
                <w:rStyle w:val="Lienhypertexte"/>
                <w:noProof/>
              </w:rPr>
              <w:t>High-level summary</w:t>
            </w:r>
            <w:r>
              <w:rPr>
                <w:noProof/>
                <w:webHidden/>
              </w:rPr>
              <w:tab/>
            </w:r>
            <w:r>
              <w:rPr>
                <w:noProof/>
                <w:webHidden/>
              </w:rPr>
              <w:fldChar w:fldCharType="begin"/>
            </w:r>
            <w:r>
              <w:rPr>
                <w:noProof/>
                <w:webHidden/>
              </w:rPr>
              <w:instrText xml:space="preserve"> PAGEREF _Toc226533692 \h </w:instrText>
            </w:r>
            <w:r>
              <w:rPr>
                <w:noProof/>
                <w:webHidden/>
              </w:rPr>
            </w:r>
            <w:r>
              <w:rPr>
                <w:noProof/>
                <w:webHidden/>
              </w:rPr>
              <w:fldChar w:fldCharType="separate"/>
            </w:r>
            <w:r>
              <w:rPr>
                <w:noProof/>
                <w:webHidden/>
              </w:rPr>
              <w:t>12</w:t>
            </w:r>
            <w:r>
              <w:rPr>
                <w:noProof/>
                <w:webHidden/>
              </w:rPr>
              <w:fldChar w:fldCharType="end"/>
            </w:r>
          </w:hyperlink>
        </w:p>
        <w:p w14:paraId="3A4736BA" w14:textId="48FA03F6" w:rsidR="000666CD" w:rsidRDefault="000666CD">
          <w:pPr>
            <w:pStyle w:val="TM2"/>
            <w:tabs>
              <w:tab w:val="left" w:pos="960"/>
              <w:tab w:val="right" w:leader="dot" w:pos="9062"/>
            </w:tabs>
            <w:rPr>
              <w:rFonts w:asciiTheme="minorHAnsi" w:eastAsiaTheme="minorEastAsia" w:hAnsiTheme="minorHAnsi"/>
              <w:iCs w:val="0"/>
              <w:noProof/>
              <w:kern w:val="2"/>
              <w:sz w:val="24"/>
              <w:szCs w:val="24"/>
              <w:lang w:val="fr-BE" w:eastAsia="fr-BE"/>
              <w14:ligatures w14:val="standardContextual"/>
            </w:rPr>
          </w:pPr>
          <w:hyperlink w:anchor="_Toc226533693" w:history="1">
            <w:r w:rsidRPr="009820A8">
              <w:rPr>
                <w:rStyle w:val="Lienhypertexte"/>
                <w:noProof/>
              </w:rPr>
              <w:t>3.2.</w:t>
            </w:r>
            <w:r>
              <w:rPr>
                <w:rFonts w:asciiTheme="minorHAnsi" w:eastAsiaTheme="minorEastAsia" w:hAnsiTheme="minorHAnsi"/>
                <w:iCs w:val="0"/>
                <w:noProof/>
                <w:kern w:val="2"/>
                <w:sz w:val="24"/>
                <w:szCs w:val="24"/>
                <w:lang w:val="fr-BE" w:eastAsia="fr-BE"/>
                <w14:ligatures w14:val="standardContextual"/>
              </w:rPr>
              <w:tab/>
            </w:r>
            <w:r w:rsidRPr="009820A8">
              <w:rPr>
                <w:rStyle w:val="Lienhypertexte"/>
                <w:noProof/>
              </w:rPr>
              <w:t>Clinical Data Definition (Article 2 (48))</w:t>
            </w:r>
            <w:r>
              <w:rPr>
                <w:noProof/>
                <w:webHidden/>
              </w:rPr>
              <w:tab/>
            </w:r>
            <w:r>
              <w:rPr>
                <w:noProof/>
                <w:webHidden/>
              </w:rPr>
              <w:fldChar w:fldCharType="begin"/>
            </w:r>
            <w:r>
              <w:rPr>
                <w:noProof/>
                <w:webHidden/>
              </w:rPr>
              <w:instrText xml:space="preserve"> PAGEREF _Toc226533693 \h </w:instrText>
            </w:r>
            <w:r>
              <w:rPr>
                <w:noProof/>
                <w:webHidden/>
              </w:rPr>
            </w:r>
            <w:r>
              <w:rPr>
                <w:noProof/>
                <w:webHidden/>
              </w:rPr>
              <w:fldChar w:fldCharType="separate"/>
            </w:r>
            <w:r>
              <w:rPr>
                <w:noProof/>
                <w:webHidden/>
              </w:rPr>
              <w:t>13</w:t>
            </w:r>
            <w:r>
              <w:rPr>
                <w:noProof/>
                <w:webHidden/>
              </w:rPr>
              <w:fldChar w:fldCharType="end"/>
            </w:r>
          </w:hyperlink>
        </w:p>
        <w:p w14:paraId="590B5982" w14:textId="7DE5357D" w:rsidR="000666CD" w:rsidRDefault="000666CD">
          <w:pPr>
            <w:pStyle w:val="TM2"/>
            <w:tabs>
              <w:tab w:val="left" w:pos="960"/>
              <w:tab w:val="right" w:leader="dot" w:pos="9062"/>
            </w:tabs>
            <w:rPr>
              <w:rFonts w:asciiTheme="minorHAnsi" w:eastAsiaTheme="minorEastAsia" w:hAnsiTheme="minorHAnsi"/>
              <w:iCs w:val="0"/>
              <w:noProof/>
              <w:kern w:val="2"/>
              <w:sz w:val="24"/>
              <w:szCs w:val="24"/>
              <w:lang w:val="fr-BE" w:eastAsia="fr-BE"/>
              <w14:ligatures w14:val="standardContextual"/>
            </w:rPr>
          </w:pPr>
          <w:hyperlink w:anchor="_Toc226533694" w:history="1">
            <w:r w:rsidRPr="009820A8">
              <w:rPr>
                <w:rStyle w:val="Lienhypertexte"/>
                <w:noProof/>
              </w:rPr>
              <w:t>3.3.</w:t>
            </w:r>
            <w:r>
              <w:rPr>
                <w:rFonts w:asciiTheme="minorHAnsi" w:eastAsiaTheme="minorEastAsia" w:hAnsiTheme="minorHAnsi"/>
                <w:iCs w:val="0"/>
                <w:noProof/>
                <w:kern w:val="2"/>
                <w:sz w:val="24"/>
                <w:szCs w:val="24"/>
                <w:lang w:val="fr-BE" w:eastAsia="fr-BE"/>
                <w14:ligatures w14:val="standardContextual"/>
              </w:rPr>
              <w:tab/>
            </w:r>
            <w:r w:rsidRPr="009820A8">
              <w:rPr>
                <w:rStyle w:val="Lienhypertexte"/>
                <w:noProof/>
              </w:rPr>
              <w:t>Clinical Data Deemed Inappropriate - Article 61.10</w:t>
            </w:r>
            <w:r>
              <w:rPr>
                <w:noProof/>
                <w:webHidden/>
              </w:rPr>
              <w:tab/>
            </w:r>
            <w:r>
              <w:rPr>
                <w:noProof/>
                <w:webHidden/>
              </w:rPr>
              <w:fldChar w:fldCharType="begin"/>
            </w:r>
            <w:r>
              <w:rPr>
                <w:noProof/>
                <w:webHidden/>
              </w:rPr>
              <w:instrText xml:space="preserve"> PAGEREF _Toc226533694 \h </w:instrText>
            </w:r>
            <w:r>
              <w:rPr>
                <w:noProof/>
                <w:webHidden/>
              </w:rPr>
            </w:r>
            <w:r>
              <w:rPr>
                <w:noProof/>
                <w:webHidden/>
              </w:rPr>
              <w:fldChar w:fldCharType="separate"/>
            </w:r>
            <w:r>
              <w:rPr>
                <w:noProof/>
                <w:webHidden/>
              </w:rPr>
              <w:t>14</w:t>
            </w:r>
            <w:r>
              <w:rPr>
                <w:noProof/>
                <w:webHidden/>
              </w:rPr>
              <w:fldChar w:fldCharType="end"/>
            </w:r>
          </w:hyperlink>
        </w:p>
        <w:p w14:paraId="2375A533" w14:textId="44F58245" w:rsidR="000666CD" w:rsidRDefault="000666CD">
          <w:pPr>
            <w:pStyle w:val="TM2"/>
            <w:tabs>
              <w:tab w:val="left" w:pos="960"/>
              <w:tab w:val="right" w:leader="dot" w:pos="9062"/>
            </w:tabs>
            <w:rPr>
              <w:rFonts w:asciiTheme="minorHAnsi" w:eastAsiaTheme="minorEastAsia" w:hAnsiTheme="minorHAnsi"/>
              <w:iCs w:val="0"/>
              <w:noProof/>
              <w:kern w:val="2"/>
              <w:sz w:val="24"/>
              <w:szCs w:val="24"/>
              <w:lang w:val="fr-BE" w:eastAsia="fr-BE"/>
              <w14:ligatures w14:val="standardContextual"/>
            </w:rPr>
          </w:pPr>
          <w:hyperlink w:anchor="_Toc226533695" w:history="1">
            <w:r w:rsidRPr="009820A8">
              <w:rPr>
                <w:rStyle w:val="Lienhypertexte"/>
                <w:noProof/>
              </w:rPr>
              <w:t>3.4.</w:t>
            </w:r>
            <w:r>
              <w:rPr>
                <w:rFonts w:asciiTheme="minorHAnsi" w:eastAsiaTheme="minorEastAsia" w:hAnsiTheme="minorHAnsi"/>
                <w:iCs w:val="0"/>
                <w:noProof/>
                <w:kern w:val="2"/>
                <w:sz w:val="24"/>
                <w:szCs w:val="24"/>
                <w:lang w:val="fr-BE" w:eastAsia="fr-BE"/>
                <w14:ligatures w14:val="standardContextual"/>
              </w:rPr>
              <w:tab/>
            </w:r>
            <w:r w:rsidRPr="009820A8">
              <w:rPr>
                <w:rStyle w:val="Lienhypertexte"/>
                <w:noProof/>
              </w:rPr>
              <w:t>Equivalence (Article 61 (5) and Annex XIV Part A (3))</w:t>
            </w:r>
            <w:r>
              <w:rPr>
                <w:noProof/>
                <w:webHidden/>
              </w:rPr>
              <w:tab/>
            </w:r>
            <w:r>
              <w:rPr>
                <w:noProof/>
                <w:webHidden/>
              </w:rPr>
              <w:fldChar w:fldCharType="begin"/>
            </w:r>
            <w:r>
              <w:rPr>
                <w:noProof/>
                <w:webHidden/>
              </w:rPr>
              <w:instrText xml:space="preserve"> PAGEREF _Toc226533695 \h </w:instrText>
            </w:r>
            <w:r>
              <w:rPr>
                <w:noProof/>
                <w:webHidden/>
              </w:rPr>
            </w:r>
            <w:r>
              <w:rPr>
                <w:noProof/>
                <w:webHidden/>
              </w:rPr>
              <w:fldChar w:fldCharType="separate"/>
            </w:r>
            <w:r>
              <w:rPr>
                <w:noProof/>
                <w:webHidden/>
              </w:rPr>
              <w:t>15</w:t>
            </w:r>
            <w:r>
              <w:rPr>
                <w:noProof/>
                <w:webHidden/>
              </w:rPr>
              <w:fldChar w:fldCharType="end"/>
            </w:r>
          </w:hyperlink>
        </w:p>
        <w:p w14:paraId="734F4840" w14:textId="4587CE54" w:rsidR="000666CD" w:rsidRDefault="000666CD">
          <w:pPr>
            <w:pStyle w:val="TM2"/>
            <w:tabs>
              <w:tab w:val="left" w:pos="960"/>
              <w:tab w:val="right" w:leader="dot" w:pos="9062"/>
            </w:tabs>
            <w:rPr>
              <w:rFonts w:asciiTheme="minorHAnsi" w:eastAsiaTheme="minorEastAsia" w:hAnsiTheme="minorHAnsi"/>
              <w:iCs w:val="0"/>
              <w:noProof/>
              <w:kern w:val="2"/>
              <w:sz w:val="24"/>
              <w:szCs w:val="24"/>
              <w:lang w:val="fr-BE" w:eastAsia="fr-BE"/>
              <w14:ligatures w14:val="standardContextual"/>
            </w:rPr>
          </w:pPr>
          <w:hyperlink w:anchor="_Toc226533696" w:history="1">
            <w:r w:rsidRPr="009820A8">
              <w:rPr>
                <w:rStyle w:val="Lienhypertexte"/>
                <w:noProof/>
              </w:rPr>
              <w:t>3.5.</w:t>
            </w:r>
            <w:r>
              <w:rPr>
                <w:rFonts w:asciiTheme="minorHAnsi" w:eastAsiaTheme="minorEastAsia" w:hAnsiTheme="minorHAnsi"/>
                <w:iCs w:val="0"/>
                <w:noProof/>
                <w:kern w:val="2"/>
                <w:sz w:val="24"/>
                <w:szCs w:val="24"/>
                <w:lang w:val="fr-BE" w:eastAsia="fr-BE"/>
                <w14:ligatures w14:val="standardContextual"/>
              </w:rPr>
              <w:tab/>
            </w:r>
            <w:r w:rsidRPr="009820A8">
              <w:rPr>
                <w:rStyle w:val="Lienhypertexte"/>
                <w:noProof/>
              </w:rPr>
              <w:t>Clinical Evaluation Consultation Procedure (CECP) &amp; Scrutiny (Articles 54 &amp; 55)</w:t>
            </w:r>
            <w:r>
              <w:rPr>
                <w:noProof/>
                <w:webHidden/>
              </w:rPr>
              <w:tab/>
            </w:r>
            <w:r>
              <w:rPr>
                <w:noProof/>
                <w:webHidden/>
              </w:rPr>
              <w:fldChar w:fldCharType="begin"/>
            </w:r>
            <w:r>
              <w:rPr>
                <w:noProof/>
                <w:webHidden/>
              </w:rPr>
              <w:instrText xml:space="preserve"> PAGEREF _Toc226533696 \h </w:instrText>
            </w:r>
            <w:r>
              <w:rPr>
                <w:noProof/>
                <w:webHidden/>
              </w:rPr>
            </w:r>
            <w:r>
              <w:rPr>
                <w:noProof/>
                <w:webHidden/>
              </w:rPr>
              <w:fldChar w:fldCharType="separate"/>
            </w:r>
            <w:r>
              <w:rPr>
                <w:noProof/>
                <w:webHidden/>
              </w:rPr>
              <w:t>16</w:t>
            </w:r>
            <w:r>
              <w:rPr>
                <w:noProof/>
                <w:webHidden/>
              </w:rPr>
              <w:fldChar w:fldCharType="end"/>
            </w:r>
          </w:hyperlink>
        </w:p>
        <w:p w14:paraId="4393BE54" w14:textId="44395F0E" w:rsidR="000666CD" w:rsidRDefault="000666CD">
          <w:pPr>
            <w:pStyle w:val="TM2"/>
            <w:tabs>
              <w:tab w:val="left" w:pos="960"/>
              <w:tab w:val="right" w:leader="dot" w:pos="9062"/>
            </w:tabs>
            <w:rPr>
              <w:rFonts w:asciiTheme="minorHAnsi" w:eastAsiaTheme="minorEastAsia" w:hAnsiTheme="minorHAnsi"/>
              <w:iCs w:val="0"/>
              <w:noProof/>
              <w:kern w:val="2"/>
              <w:sz w:val="24"/>
              <w:szCs w:val="24"/>
              <w:lang w:val="fr-BE" w:eastAsia="fr-BE"/>
              <w14:ligatures w14:val="standardContextual"/>
            </w:rPr>
          </w:pPr>
          <w:hyperlink w:anchor="_Toc226533697" w:history="1">
            <w:r w:rsidRPr="009820A8">
              <w:rPr>
                <w:rStyle w:val="Lienhypertexte"/>
                <w:noProof/>
              </w:rPr>
              <w:t>3.6.</w:t>
            </w:r>
            <w:r>
              <w:rPr>
                <w:rFonts w:asciiTheme="minorHAnsi" w:eastAsiaTheme="minorEastAsia" w:hAnsiTheme="minorHAnsi"/>
                <w:iCs w:val="0"/>
                <w:noProof/>
                <w:kern w:val="2"/>
                <w:sz w:val="24"/>
                <w:szCs w:val="24"/>
                <w:lang w:val="fr-BE" w:eastAsia="fr-BE"/>
                <w14:ligatures w14:val="standardContextual"/>
              </w:rPr>
              <w:tab/>
            </w:r>
            <w:r w:rsidRPr="009820A8">
              <w:rPr>
                <w:rStyle w:val="Lienhypertexte"/>
                <w:noProof/>
              </w:rPr>
              <w:t>Expert panel (Article 61(2))</w:t>
            </w:r>
            <w:r>
              <w:rPr>
                <w:noProof/>
                <w:webHidden/>
              </w:rPr>
              <w:tab/>
            </w:r>
            <w:r>
              <w:rPr>
                <w:noProof/>
                <w:webHidden/>
              </w:rPr>
              <w:fldChar w:fldCharType="begin"/>
            </w:r>
            <w:r>
              <w:rPr>
                <w:noProof/>
                <w:webHidden/>
              </w:rPr>
              <w:instrText xml:space="preserve"> PAGEREF _Toc226533697 \h </w:instrText>
            </w:r>
            <w:r>
              <w:rPr>
                <w:noProof/>
                <w:webHidden/>
              </w:rPr>
            </w:r>
            <w:r>
              <w:rPr>
                <w:noProof/>
                <w:webHidden/>
              </w:rPr>
              <w:fldChar w:fldCharType="separate"/>
            </w:r>
            <w:r>
              <w:rPr>
                <w:noProof/>
                <w:webHidden/>
              </w:rPr>
              <w:t>18</w:t>
            </w:r>
            <w:r>
              <w:rPr>
                <w:noProof/>
                <w:webHidden/>
              </w:rPr>
              <w:fldChar w:fldCharType="end"/>
            </w:r>
          </w:hyperlink>
        </w:p>
        <w:p w14:paraId="15F978C1" w14:textId="71ED16F8" w:rsidR="000666CD" w:rsidRDefault="000666CD">
          <w:pPr>
            <w:pStyle w:val="TM2"/>
            <w:tabs>
              <w:tab w:val="left" w:pos="960"/>
              <w:tab w:val="right" w:leader="dot" w:pos="9062"/>
            </w:tabs>
            <w:rPr>
              <w:rFonts w:asciiTheme="minorHAnsi" w:eastAsiaTheme="minorEastAsia" w:hAnsiTheme="minorHAnsi"/>
              <w:iCs w:val="0"/>
              <w:noProof/>
              <w:kern w:val="2"/>
              <w:sz w:val="24"/>
              <w:szCs w:val="24"/>
              <w:lang w:val="fr-BE" w:eastAsia="fr-BE"/>
              <w14:ligatures w14:val="standardContextual"/>
            </w:rPr>
          </w:pPr>
          <w:hyperlink w:anchor="_Toc226533698" w:history="1">
            <w:r w:rsidRPr="009820A8">
              <w:rPr>
                <w:rStyle w:val="Lienhypertexte"/>
                <w:noProof/>
              </w:rPr>
              <w:t>3.7.</w:t>
            </w:r>
            <w:r>
              <w:rPr>
                <w:rFonts w:asciiTheme="minorHAnsi" w:eastAsiaTheme="minorEastAsia" w:hAnsiTheme="minorHAnsi"/>
                <w:iCs w:val="0"/>
                <w:noProof/>
                <w:kern w:val="2"/>
                <w:sz w:val="24"/>
                <w:szCs w:val="24"/>
                <w:lang w:val="fr-BE" w:eastAsia="fr-BE"/>
                <w14:ligatures w14:val="standardContextual"/>
              </w:rPr>
              <w:tab/>
            </w:r>
            <w:r w:rsidRPr="009820A8">
              <w:rPr>
                <w:rStyle w:val="Lienhypertexte"/>
                <w:noProof/>
              </w:rPr>
              <w:t>PMCF Evaluation Report &amp; Updates (Article 61 (11) and Annex XIV Part B)</w:t>
            </w:r>
            <w:r>
              <w:rPr>
                <w:noProof/>
                <w:webHidden/>
              </w:rPr>
              <w:tab/>
            </w:r>
            <w:r>
              <w:rPr>
                <w:noProof/>
                <w:webHidden/>
              </w:rPr>
              <w:fldChar w:fldCharType="begin"/>
            </w:r>
            <w:r>
              <w:rPr>
                <w:noProof/>
                <w:webHidden/>
              </w:rPr>
              <w:instrText xml:space="preserve"> PAGEREF _Toc226533698 \h </w:instrText>
            </w:r>
            <w:r>
              <w:rPr>
                <w:noProof/>
                <w:webHidden/>
              </w:rPr>
            </w:r>
            <w:r>
              <w:rPr>
                <w:noProof/>
                <w:webHidden/>
              </w:rPr>
              <w:fldChar w:fldCharType="separate"/>
            </w:r>
            <w:r>
              <w:rPr>
                <w:noProof/>
                <w:webHidden/>
              </w:rPr>
              <w:t>19</w:t>
            </w:r>
            <w:r>
              <w:rPr>
                <w:noProof/>
                <w:webHidden/>
              </w:rPr>
              <w:fldChar w:fldCharType="end"/>
            </w:r>
          </w:hyperlink>
        </w:p>
        <w:p w14:paraId="1E9A4E98" w14:textId="536DAEBD" w:rsidR="000666CD" w:rsidRDefault="000666CD">
          <w:pPr>
            <w:pStyle w:val="TM2"/>
            <w:tabs>
              <w:tab w:val="left" w:pos="960"/>
              <w:tab w:val="right" w:leader="dot" w:pos="9062"/>
            </w:tabs>
            <w:rPr>
              <w:rFonts w:asciiTheme="minorHAnsi" w:eastAsiaTheme="minorEastAsia" w:hAnsiTheme="minorHAnsi"/>
              <w:iCs w:val="0"/>
              <w:noProof/>
              <w:kern w:val="2"/>
              <w:sz w:val="24"/>
              <w:szCs w:val="24"/>
              <w:lang w:val="fr-BE" w:eastAsia="fr-BE"/>
              <w14:ligatures w14:val="standardContextual"/>
            </w:rPr>
          </w:pPr>
          <w:hyperlink w:anchor="_Toc226533699" w:history="1">
            <w:r w:rsidRPr="009820A8">
              <w:rPr>
                <w:rStyle w:val="Lienhypertexte"/>
                <w:noProof/>
              </w:rPr>
              <w:t>3.8.</w:t>
            </w:r>
            <w:r>
              <w:rPr>
                <w:rFonts w:asciiTheme="minorHAnsi" w:eastAsiaTheme="minorEastAsia" w:hAnsiTheme="minorHAnsi"/>
                <w:iCs w:val="0"/>
                <w:noProof/>
                <w:kern w:val="2"/>
                <w:sz w:val="24"/>
                <w:szCs w:val="24"/>
                <w:lang w:val="fr-BE" w:eastAsia="fr-BE"/>
                <w14:ligatures w14:val="standardContextual"/>
              </w:rPr>
              <w:tab/>
            </w:r>
            <w:r w:rsidRPr="009820A8">
              <w:rPr>
                <w:rStyle w:val="Lienhypertexte"/>
                <w:noProof/>
              </w:rPr>
              <w:t>Well Established Technologies (Article 2 &amp; Article 61 (6b), 61 (8)</w:t>
            </w:r>
            <w:r>
              <w:rPr>
                <w:noProof/>
                <w:webHidden/>
              </w:rPr>
              <w:tab/>
            </w:r>
            <w:r>
              <w:rPr>
                <w:noProof/>
                <w:webHidden/>
              </w:rPr>
              <w:fldChar w:fldCharType="begin"/>
            </w:r>
            <w:r>
              <w:rPr>
                <w:noProof/>
                <w:webHidden/>
              </w:rPr>
              <w:instrText xml:space="preserve"> PAGEREF _Toc226533699 \h </w:instrText>
            </w:r>
            <w:r>
              <w:rPr>
                <w:noProof/>
                <w:webHidden/>
              </w:rPr>
            </w:r>
            <w:r>
              <w:rPr>
                <w:noProof/>
                <w:webHidden/>
              </w:rPr>
              <w:fldChar w:fldCharType="separate"/>
            </w:r>
            <w:r>
              <w:rPr>
                <w:noProof/>
                <w:webHidden/>
              </w:rPr>
              <w:t>19</w:t>
            </w:r>
            <w:r>
              <w:rPr>
                <w:noProof/>
                <w:webHidden/>
              </w:rPr>
              <w:fldChar w:fldCharType="end"/>
            </w:r>
          </w:hyperlink>
        </w:p>
        <w:p w14:paraId="20C5E5D4" w14:textId="650219B6" w:rsidR="000666CD" w:rsidRDefault="000666CD">
          <w:pPr>
            <w:pStyle w:val="TM3"/>
            <w:tabs>
              <w:tab w:val="left" w:pos="1200"/>
              <w:tab w:val="right" w:leader="dot" w:pos="9062"/>
            </w:tabs>
            <w:rPr>
              <w:rFonts w:asciiTheme="minorHAnsi" w:eastAsiaTheme="minorEastAsia" w:hAnsiTheme="minorHAnsi"/>
              <w:iCs w:val="0"/>
              <w:noProof/>
              <w:kern w:val="2"/>
              <w:sz w:val="24"/>
              <w:szCs w:val="24"/>
              <w:lang w:val="fr-BE" w:eastAsia="fr-BE"/>
              <w14:ligatures w14:val="standardContextual"/>
            </w:rPr>
          </w:pPr>
          <w:hyperlink w:anchor="_Toc226533700" w:history="1">
            <w:r w:rsidRPr="009820A8">
              <w:rPr>
                <w:rStyle w:val="Lienhypertexte"/>
                <w:noProof/>
              </w:rPr>
              <w:t>3.8.1.</w:t>
            </w:r>
            <w:r>
              <w:rPr>
                <w:rFonts w:asciiTheme="minorHAnsi" w:eastAsiaTheme="minorEastAsia" w:hAnsiTheme="minorHAnsi"/>
                <w:iCs w:val="0"/>
                <w:noProof/>
                <w:kern w:val="2"/>
                <w:sz w:val="24"/>
                <w:szCs w:val="24"/>
                <w:lang w:val="fr-BE" w:eastAsia="fr-BE"/>
                <w14:ligatures w14:val="standardContextual"/>
              </w:rPr>
              <w:tab/>
            </w:r>
            <w:r w:rsidRPr="009820A8">
              <w:rPr>
                <w:rStyle w:val="Lienhypertexte"/>
                <w:noProof/>
              </w:rPr>
              <w:t>Concerns</w:t>
            </w:r>
            <w:r>
              <w:rPr>
                <w:noProof/>
                <w:webHidden/>
              </w:rPr>
              <w:tab/>
            </w:r>
            <w:r>
              <w:rPr>
                <w:noProof/>
                <w:webHidden/>
              </w:rPr>
              <w:fldChar w:fldCharType="begin"/>
            </w:r>
            <w:r>
              <w:rPr>
                <w:noProof/>
                <w:webHidden/>
              </w:rPr>
              <w:instrText xml:space="preserve"> PAGEREF _Toc226533700 \h </w:instrText>
            </w:r>
            <w:r>
              <w:rPr>
                <w:noProof/>
                <w:webHidden/>
              </w:rPr>
            </w:r>
            <w:r>
              <w:rPr>
                <w:noProof/>
                <w:webHidden/>
              </w:rPr>
              <w:fldChar w:fldCharType="separate"/>
            </w:r>
            <w:r>
              <w:rPr>
                <w:noProof/>
                <w:webHidden/>
              </w:rPr>
              <w:t>19</w:t>
            </w:r>
            <w:r>
              <w:rPr>
                <w:noProof/>
                <w:webHidden/>
              </w:rPr>
              <w:fldChar w:fldCharType="end"/>
            </w:r>
          </w:hyperlink>
        </w:p>
        <w:p w14:paraId="630EA9DD" w14:textId="6F9ECAFE" w:rsidR="000666CD" w:rsidRDefault="000666CD">
          <w:pPr>
            <w:pStyle w:val="TM3"/>
            <w:tabs>
              <w:tab w:val="left" w:pos="1200"/>
              <w:tab w:val="right" w:leader="dot" w:pos="9062"/>
            </w:tabs>
            <w:rPr>
              <w:rFonts w:asciiTheme="minorHAnsi" w:eastAsiaTheme="minorEastAsia" w:hAnsiTheme="minorHAnsi"/>
              <w:iCs w:val="0"/>
              <w:noProof/>
              <w:kern w:val="2"/>
              <w:sz w:val="24"/>
              <w:szCs w:val="24"/>
              <w:lang w:val="fr-BE" w:eastAsia="fr-BE"/>
              <w14:ligatures w14:val="standardContextual"/>
            </w:rPr>
          </w:pPr>
          <w:hyperlink w:anchor="_Toc226533701" w:history="1">
            <w:r w:rsidRPr="009820A8">
              <w:rPr>
                <w:rStyle w:val="Lienhypertexte"/>
                <w:noProof/>
              </w:rPr>
              <w:t>3.8.2.</w:t>
            </w:r>
            <w:r>
              <w:rPr>
                <w:rFonts w:asciiTheme="minorHAnsi" w:eastAsiaTheme="minorEastAsia" w:hAnsiTheme="minorHAnsi"/>
                <w:iCs w:val="0"/>
                <w:noProof/>
                <w:kern w:val="2"/>
                <w:sz w:val="24"/>
                <w:szCs w:val="24"/>
                <w:lang w:val="fr-BE" w:eastAsia="fr-BE"/>
                <w14:ligatures w14:val="standardContextual"/>
              </w:rPr>
              <w:tab/>
            </w:r>
            <w:r w:rsidRPr="009820A8">
              <w:rPr>
                <w:rStyle w:val="Lienhypertexte"/>
                <w:noProof/>
              </w:rPr>
              <w:t>Summary of notified body proposals on well established technologies</w:t>
            </w:r>
            <w:r>
              <w:rPr>
                <w:noProof/>
                <w:webHidden/>
              </w:rPr>
              <w:tab/>
            </w:r>
            <w:r>
              <w:rPr>
                <w:noProof/>
                <w:webHidden/>
              </w:rPr>
              <w:fldChar w:fldCharType="begin"/>
            </w:r>
            <w:r>
              <w:rPr>
                <w:noProof/>
                <w:webHidden/>
              </w:rPr>
              <w:instrText xml:space="preserve"> PAGEREF _Toc226533701 \h </w:instrText>
            </w:r>
            <w:r>
              <w:rPr>
                <w:noProof/>
                <w:webHidden/>
              </w:rPr>
            </w:r>
            <w:r>
              <w:rPr>
                <w:noProof/>
                <w:webHidden/>
              </w:rPr>
              <w:fldChar w:fldCharType="separate"/>
            </w:r>
            <w:r>
              <w:rPr>
                <w:noProof/>
                <w:webHidden/>
              </w:rPr>
              <w:t>20</w:t>
            </w:r>
            <w:r>
              <w:rPr>
                <w:noProof/>
                <w:webHidden/>
              </w:rPr>
              <w:fldChar w:fldCharType="end"/>
            </w:r>
          </w:hyperlink>
        </w:p>
        <w:p w14:paraId="449777CC" w14:textId="2381BF2C" w:rsidR="000666CD" w:rsidRDefault="000666CD">
          <w:pPr>
            <w:pStyle w:val="TM2"/>
            <w:tabs>
              <w:tab w:val="left" w:pos="960"/>
              <w:tab w:val="right" w:leader="dot" w:pos="9062"/>
            </w:tabs>
            <w:rPr>
              <w:rFonts w:asciiTheme="minorHAnsi" w:eastAsiaTheme="minorEastAsia" w:hAnsiTheme="minorHAnsi"/>
              <w:iCs w:val="0"/>
              <w:noProof/>
              <w:kern w:val="2"/>
              <w:sz w:val="24"/>
              <w:szCs w:val="24"/>
              <w:lang w:val="fr-BE" w:eastAsia="fr-BE"/>
              <w14:ligatures w14:val="standardContextual"/>
            </w:rPr>
          </w:pPr>
          <w:hyperlink w:anchor="_Toc226533702" w:history="1">
            <w:r w:rsidRPr="009820A8">
              <w:rPr>
                <w:rStyle w:val="Lienhypertexte"/>
                <w:noProof/>
              </w:rPr>
              <w:t>3.9.</w:t>
            </w:r>
            <w:r>
              <w:rPr>
                <w:rFonts w:asciiTheme="minorHAnsi" w:eastAsiaTheme="minorEastAsia" w:hAnsiTheme="minorHAnsi"/>
                <w:iCs w:val="0"/>
                <w:noProof/>
                <w:kern w:val="2"/>
                <w:sz w:val="24"/>
                <w:szCs w:val="24"/>
                <w:lang w:val="fr-BE" w:eastAsia="fr-BE"/>
                <w14:ligatures w14:val="standardContextual"/>
              </w:rPr>
              <w:tab/>
            </w:r>
            <w:r w:rsidRPr="009820A8">
              <w:rPr>
                <w:rStyle w:val="Lienhypertexte"/>
                <w:noProof/>
              </w:rPr>
              <w:t>Summary of Safety and Clinical Performance  (MDR Article 32)/Summary of Safety and Performance (IVDR Article 29)</w:t>
            </w:r>
            <w:r>
              <w:rPr>
                <w:noProof/>
                <w:webHidden/>
              </w:rPr>
              <w:tab/>
            </w:r>
            <w:r>
              <w:rPr>
                <w:noProof/>
                <w:webHidden/>
              </w:rPr>
              <w:fldChar w:fldCharType="begin"/>
            </w:r>
            <w:r>
              <w:rPr>
                <w:noProof/>
                <w:webHidden/>
              </w:rPr>
              <w:instrText xml:space="preserve"> PAGEREF _Toc226533702 \h </w:instrText>
            </w:r>
            <w:r>
              <w:rPr>
                <w:noProof/>
                <w:webHidden/>
              </w:rPr>
            </w:r>
            <w:r>
              <w:rPr>
                <w:noProof/>
                <w:webHidden/>
              </w:rPr>
              <w:fldChar w:fldCharType="separate"/>
            </w:r>
            <w:r>
              <w:rPr>
                <w:noProof/>
                <w:webHidden/>
              </w:rPr>
              <w:t>21</w:t>
            </w:r>
            <w:r>
              <w:rPr>
                <w:noProof/>
                <w:webHidden/>
              </w:rPr>
              <w:fldChar w:fldCharType="end"/>
            </w:r>
          </w:hyperlink>
        </w:p>
        <w:p w14:paraId="01DBB843" w14:textId="7EC22162" w:rsidR="000666CD" w:rsidRDefault="000666CD">
          <w:pPr>
            <w:pStyle w:val="TM2"/>
            <w:tabs>
              <w:tab w:val="left" w:pos="960"/>
              <w:tab w:val="right" w:leader="dot" w:pos="9062"/>
            </w:tabs>
            <w:rPr>
              <w:rFonts w:asciiTheme="minorHAnsi" w:eastAsiaTheme="minorEastAsia" w:hAnsiTheme="minorHAnsi"/>
              <w:iCs w:val="0"/>
              <w:noProof/>
              <w:kern w:val="2"/>
              <w:sz w:val="24"/>
              <w:szCs w:val="24"/>
              <w:lang w:val="fr-BE" w:eastAsia="fr-BE"/>
              <w14:ligatures w14:val="standardContextual"/>
            </w:rPr>
          </w:pPr>
          <w:hyperlink w:anchor="_Toc226533703" w:history="1">
            <w:r w:rsidRPr="009820A8">
              <w:rPr>
                <w:rStyle w:val="Lienhypertexte"/>
                <w:noProof/>
                <w:lang w:val="en-US"/>
              </w:rPr>
              <w:t>3.10.</w:t>
            </w:r>
            <w:r>
              <w:rPr>
                <w:rFonts w:asciiTheme="minorHAnsi" w:eastAsiaTheme="minorEastAsia" w:hAnsiTheme="minorHAnsi"/>
                <w:iCs w:val="0"/>
                <w:noProof/>
                <w:kern w:val="2"/>
                <w:sz w:val="24"/>
                <w:szCs w:val="24"/>
                <w:lang w:val="fr-BE" w:eastAsia="fr-BE"/>
                <w14:ligatures w14:val="standardContextual"/>
              </w:rPr>
              <w:tab/>
            </w:r>
            <w:r w:rsidRPr="009820A8">
              <w:rPr>
                <w:rStyle w:val="Lienhypertexte"/>
                <w:noProof/>
                <w:lang w:val="en-US"/>
              </w:rPr>
              <w:t>Suggested input for IVDs</w:t>
            </w:r>
            <w:r>
              <w:rPr>
                <w:noProof/>
                <w:webHidden/>
              </w:rPr>
              <w:tab/>
            </w:r>
            <w:r>
              <w:rPr>
                <w:noProof/>
                <w:webHidden/>
              </w:rPr>
              <w:fldChar w:fldCharType="begin"/>
            </w:r>
            <w:r>
              <w:rPr>
                <w:noProof/>
                <w:webHidden/>
              </w:rPr>
              <w:instrText xml:space="preserve"> PAGEREF _Toc226533703 \h </w:instrText>
            </w:r>
            <w:r>
              <w:rPr>
                <w:noProof/>
                <w:webHidden/>
              </w:rPr>
            </w:r>
            <w:r>
              <w:rPr>
                <w:noProof/>
                <w:webHidden/>
              </w:rPr>
              <w:fldChar w:fldCharType="separate"/>
            </w:r>
            <w:r>
              <w:rPr>
                <w:noProof/>
                <w:webHidden/>
              </w:rPr>
              <w:t>21</w:t>
            </w:r>
            <w:r>
              <w:rPr>
                <w:noProof/>
                <w:webHidden/>
              </w:rPr>
              <w:fldChar w:fldCharType="end"/>
            </w:r>
          </w:hyperlink>
        </w:p>
        <w:p w14:paraId="65388C13" w14:textId="070E973F" w:rsidR="000666CD" w:rsidRDefault="000666CD">
          <w:pPr>
            <w:pStyle w:val="TM1"/>
            <w:tabs>
              <w:tab w:val="left" w:pos="720"/>
              <w:tab w:val="right" w:leader="dot" w:pos="9062"/>
            </w:tabs>
            <w:rPr>
              <w:rFonts w:asciiTheme="minorHAnsi" w:eastAsiaTheme="minorEastAsia" w:hAnsiTheme="minorHAnsi"/>
              <w:iCs w:val="0"/>
              <w:noProof/>
              <w:kern w:val="2"/>
              <w:sz w:val="24"/>
              <w:szCs w:val="24"/>
              <w:lang w:val="fr-BE" w:eastAsia="fr-BE"/>
              <w14:ligatures w14:val="standardContextual"/>
            </w:rPr>
          </w:pPr>
          <w:hyperlink w:anchor="_Toc226533704" w:history="1">
            <w:r w:rsidRPr="009820A8">
              <w:rPr>
                <w:rStyle w:val="Lienhypertexte"/>
                <w:noProof/>
              </w:rPr>
              <w:t>4.</w:t>
            </w:r>
            <w:r>
              <w:rPr>
                <w:rFonts w:asciiTheme="minorHAnsi" w:eastAsiaTheme="minorEastAsia" w:hAnsiTheme="minorHAnsi"/>
                <w:iCs w:val="0"/>
                <w:noProof/>
                <w:kern w:val="2"/>
                <w:sz w:val="24"/>
                <w:szCs w:val="24"/>
                <w:lang w:val="fr-BE" w:eastAsia="fr-BE"/>
                <w14:ligatures w14:val="standardContextual"/>
              </w:rPr>
              <w:tab/>
            </w:r>
            <w:r w:rsidRPr="009820A8">
              <w:rPr>
                <w:rStyle w:val="Lienhypertexte"/>
                <w:noProof/>
              </w:rPr>
              <w:t>Safety concerns</w:t>
            </w:r>
            <w:r>
              <w:rPr>
                <w:noProof/>
                <w:webHidden/>
              </w:rPr>
              <w:tab/>
            </w:r>
            <w:r>
              <w:rPr>
                <w:noProof/>
                <w:webHidden/>
              </w:rPr>
              <w:fldChar w:fldCharType="begin"/>
            </w:r>
            <w:r>
              <w:rPr>
                <w:noProof/>
                <w:webHidden/>
              </w:rPr>
              <w:instrText xml:space="preserve"> PAGEREF _Toc226533704 \h </w:instrText>
            </w:r>
            <w:r>
              <w:rPr>
                <w:noProof/>
                <w:webHidden/>
              </w:rPr>
            </w:r>
            <w:r>
              <w:rPr>
                <w:noProof/>
                <w:webHidden/>
              </w:rPr>
              <w:fldChar w:fldCharType="separate"/>
            </w:r>
            <w:r>
              <w:rPr>
                <w:noProof/>
                <w:webHidden/>
              </w:rPr>
              <w:t>22</w:t>
            </w:r>
            <w:r>
              <w:rPr>
                <w:noProof/>
                <w:webHidden/>
              </w:rPr>
              <w:fldChar w:fldCharType="end"/>
            </w:r>
          </w:hyperlink>
        </w:p>
        <w:p w14:paraId="4562956A" w14:textId="33E36AAA" w:rsidR="000666CD" w:rsidRDefault="000666CD">
          <w:pPr>
            <w:pStyle w:val="TM2"/>
            <w:tabs>
              <w:tab w:val="left" w:pos="960"/>
              <w:tab w:val="right" w:leader="dot" w:pos="9062"/>
            </w:tabs>
            <w:rPr>
              <w:rFonts w:asciiTheme="minorHAnsi" w:eastAsiaTheme="minorEastAsia" w:hAnsiTheme="minorHAnsi"/>
              <w:iCs w:val="0"/>
              <w:noProof/>
              <w:kern w:val="2"/>
              <w:sz w:val="24"/>
              <w:szCs w:val="24"/>
              <w:lang w:val="fr-BE" w:eastAsia="fr-BE"/>
              <w14:ligatures w14:val="standardContextual"/>
            </w:rPr>
          </w:pPr>
          <w:hyperlink w:anchor="_Toc226533705" w:history="1">
            <w:r w:rsidRPr="009820A8">
              <w:rPr>
                <w:rStyle w:val="Lienhypertexte"/>
                <w:noProof/>
              </w:rPr>
              <w:t>4.1.</w:t>
            </w:r>
            <w:r>
              <w:rPr>
                <w:rFonts w:asciiTheme="minorHAnsi" w:eastAsiaTheme="minorEastAsia" w:hAnsiTheme="minorHAnsi"/>
                <w:iCs w:val="0"/>
                <w:noProof/>
                <w:kern w:val="2"/>
                <w:sz w:val="24"/>
                <w:szCs w:val="24"/>
                <w:lang w:val="fr-BE" w:eastAsia="fr-BE"/>
                <w14:ligatures w14:val="standardContextual"/>
              </w:rPr>
              <w:tab/>
            </w:r>
            <w:r w:rsidRPr="009820A8">
              <w:rPr>
                <w:rStyle w:val="Lienhypertexte"/>
                <w:noProof/>
              </w:rPr>
              <w:t>High-level summary</w:t>
            </w:r>
            <w:r>
              <w:rPr>
                <w:noProof/>
                <w:webHidden/>
              </w:rPr>
              <w:tab/>
            </w:r>
            <w:r>
              <w:rPr>
                <w:noProof/>
                <w:webHidden/>
              </w:rPr>
              <w:fldChar w:fldCharType="begin"/>
            </w:r>
            <w:r>
              <w:rPr>
                <w:noProof/>
                <w:webHidden/>
              </w:rPr>
              <w:instrText xml:space="preserve"> PAGEREF _Toc226533705 \h </w:instrText>
            </w:r>
            <w:r>
              <w:rPr>
                <w:noProof/>
                <w:webHidden/>
              </w:rPr>
            </w:r>
            <w:r>
              <w:rPr>
                <w:noProof/>
                <w:webHidden/>
              </w:rPr>
              <w:fldChar w:fldCharType="separate"/>
            </w:r>
            <w:r>
              <w:rPr>
                <w:noProof/>
                <w:webHidden/>
              </w:rPr>
              <w:t>22</w:t>
            </w:r>
            <w:r>
              <w:rPr>
                <w:noProof/>
                <w:webHidden/>
              </w:rPr>
              <w:fldChar w:fldCharType="end"/>
            </w:r>
          </w:hyperlink>
        </w:p>
        <w:p w14:paraId="720ACC2F" w14:textId="6206D6AF" w:rsidR="000666CD" w:rsidRDefault="000666CD">
          <w:pPr>
            <w:pStyle w:val="TM2"/>
            <w:tabs>
              <w:tab w:val="left" w:pos="960"/>
              <w:tab w:val="right" w:leader="dot" w:pos="9062"/>
            </w:tabs>
            <w:rPr>
              <w:rFonts w:asciiTheme="minorHAnsi" w:eastAsiaTheme="minorEastAsia" w:hAnsiTheme="minorHAnsi"/>
              <w:iCs w:val="0"/>
              <w:noProof/>
              <w:kern w:val="2"/>
              <w:sz w:val="24"/>
              <w:szCs w:val="24"/>
              <w:lang w:val="fr-BE" w:eastAsia="fr-BE"/>
              <w14:ligatures w14:val="standardContextual"/>
            </w:rPr>
          </w:pPr>
          <w:hyperlink w:anchor="_Toc226533706" w:history="1">
            <w:r w:rsidRPr="009820A8">
              <w:rPr>
                <w:rStyle w:val="Lienhypertexte"/>
                <w:noProof/>
              </w:rPr>
              <w:t>4.2.</w:t>
            </w:r>
            <w:r>
              <w:rPr>
                <w:rFonts w:asciiTheme="minorHAnsi" w:eastAsiaTheme="minorEastAsia" w:hAnsiTheme="minorHAnsi"/>
                <w:iCs w:val="0"/>
                <w:noProof/>
                <w:kern w:val="2"/>
                <w:sz w:val="24"/>
                <w:szCs w:val="24"/>
                <w:lang w:val="fr-BE" w:eastAsia="fr-BE"/>
                <w14:ligatures w14:val="standardContextual"/>
              </w:rPr>
              <w:tab/>
            </w:r>
            <w:r w:rsidRPr="009820A8">
              <w:rPr>
                <w:rStyle w:val="Lienhypertexte"/>
                <w:noProof/>
              </w:rPr>
              <w:t>Safety concerns</w:t>
            </w:r>
            <w:r>
              <w:rPr>
                <w:noProof/>
                <w:webHidden/>
              </w:rPr>
              <w:tab/>
            </w:r>
            <w:r>
              <w:rPr>
                <w:noProof/>
                <w:webHidden/>
              </w:rPr>
              <w:fldChar w:fldCharType="begin"/>
            </w:r>
            <w:r>
              <w:rPr>
                <w:noProof/>
                <w:webHidden/>
              </w:rPr>
              <w:instrText xml:space="preserve"> PAGEREF _Toc226533706 \h </w:instrText>
            </w:r>
            <w:r>
              <w:rPr>
                <w:noProof/>
                <w:webHidden/>
              </w:rPr>
            </w:r>
            <w:r>
              <w:rPr>
                <w:noProof/>
                <w:webHidden/>
              </w:rPr>
              <w:fldChar w:fldCharType="separate"/>
            </w:r>
            <w:r>
              <w:rPr>
                <w:noProof/>
                <w:webHidden/>
              </w:rPr>
              <w:t>22</w:t>
            </w:r>
            <w:r>
              <w:rPr>
                <w:noProof/>
                <w:webHidden/>
              </w:rPr>
              <w:fldChar w:fldCharType="end"/>
            </w:r>
          </w:hyperlink>
        </w:p>
        <w:p w14:paraId="23482E9F" w14:textId="72B61E97" w:rsidR="000666CD" w:rsidRDefault="000666CD">
          <w:pPr>
            <w:pStyle w:val="TM3"/>
            <w:tabs>
              <w:tab w:val="left" w:pos="1200"/>
              <w:tab w:val="right" w:leader="dot" w:pos="9062"/>
            </w:tabs>
            <w:rPr>
              <w:rFonts w:asciiTheme="minorHAnsi" w:eastAsiaTheme="minorEastAsia" w:hAnsiTheme="minorHAnsi"/>
              <w:iCs w:val="0"/>
              <w:noProof/>
              <w:kern w:val="2"/>
              <w:sz w:val="24"/>
              <w:szCs w:val="24"/>
              <w:lang w:val="fr-BE" w:eastAsia="fr-BE"/>
              <w14:ligatures w14:val="standardContextual"/>
            </w:rPr>
          </w:pPr>
          <w:hyperlink w:anchor="_Toc226533707" w:history="1">
            <w:r w:rsidRPr="009820A8">
              <w:rPr>
                <w:rStyle w:val="Lienhypertexte"/>
                <w:noProof/>
                <w:lang w:eastAsia="en-GB"/>
              </w:rPr>
              <w:t>4.2.1.</w:t>
            </w:r>
            <w:r>
              <w:rPr>
                <w:rFonts w:asciiTheme="minorHAnsi" w:eastAsiaTheme="minorEastAsia" w:hAnsiTheme="minorHAnsi"/>
                <w:iCs w:val="0"/>
                <w:noProof/>
                <w:kern w:val="2"/>
                <w:sz w:val="24"/>
                <w:szCs w:val="24"/>
                <w:lang w:val="fr-BE" w:eastAsia="fr-BE"/>
                <w14:ligatures w14:val="standardContextual"/>
              </w:rPr>
              <w:tab/>
            </w:r>
            <w:r w:rsidRPr="009820A8">
              <w:rPr>
                <w:rStyle w:val="Lienhypertexte"/>
                <w:noProof/>
                <w:lang w:eastAsia="en-GB"/>
              </w:rPr>
              <w:t>Notified body access to EUDAMED as enabler of patient safety</w:t>
            </w:r>
            <w:r>
              <w:rPr>
                <w:noProof/>
                <w:webHidden/>
              </w:rPr>
              <w:tab/>
            </w:r>
            <w:r>
              <w:rPr>
                <w:noProof/>
                <w:webHidden/>
              </w:rPr>
              <w:fldChar w:fldCharType="begin"/>
            </w:r>
            <w:r>
              <w:rPr>
                <w:noProof/>
                <w:webHidden/>
              </w:rPr>
              <w:instrText xml:space="preserve"> PAGEREF _Toc226533707 \h </w:instrText>
            </w:r>
            <w:r>
              <w:rPr>
                <w:noProof/>
                <w:webHidden/>
              </w:rPr>
            </w:r>
            <w:r>
              <w:rPr>
                <w:noProof/>
                <w:webHidden/>
              </w:rPr>
              <w:fldChar w:fldCharType="separate"/>
            </w:r>
            <w:r>
              <w:rPr>
                <w:noProof/>
                <w:webHidden/>
              </w:rPr>
              <w:t>23</w:t>
            </w:r>
            <w:r>
              <w:rPr>
                <w:noProof/>
                <w:webHidden/>
              </w:rPr>
              <w:fldChar w:fldCharType="end"/>
            </w:r>
          </w:hyperlink>
        </w:p>
        <w:p w14:paraId="233153DE" w14:textId="271E66CD" w:rsidR="000666CD" w:rsidRDefault="000666CD">
          <w:pPr>
            <w:pStyle w:val="TM2"/>
            <w:tabs>
              <w:tab w:val="left" w:pos="960"/>
              <w:tab w:val="right" w:leader="dot" w:pos="9062"/>
            </w:tabs>
            <w:rPr>
              <w:rFonts w:asciiTheme="minorHAnsi" w:eastAsiaTheme="minorEastAsia" w:hAnsiTheme="minorHAnsi"/>
              <w:iCs w:val="0"/>
              <w:noProof/>
              <w:kern w:val="2"/>
              <w:sz w:val="24"/>
              <w:szCs w:val="24"/>
              <w:lang w:val="fr-BE" w:eastAsia="fr-BE"/>
              <w14:ligatures w14:val="standardContextual"/>
            </w:rPr>
          </w:pPr>
          <w:hyperlink w:anchor="_Toc226533708" w:history="1">
            <w:r w:rsidRPr="009820A8">
              <w:rPr>
                <w:rStyle w:val="Lienhypertexte"/>
                <w:noProof/>
              </w:rPr>
              <w:t>4.3.</w:t>
            </w:r>
            <w:r>
              <w:rPr>
                <w:rFonts w:asciiTheme="minorHAnsi" w:eastAsiaTheme="minorEastAsia" w:hAnsiTheme="minorHAnsi"/>
                <w:iCs w:val="0"/>
                <w:noProof/>
                <w:kern w:val="2"/>
                <w:sz w:val="24"/>
                <w:szCs w:val="24"/>
                <w:lang w:val="fr-BE" w:eastAsia="fr-BE"/>
                <w14:ligatures w14:val="standardContextual"/>
              </w:rPr>
              <w:tab/>
            </w:r>
            <w:r w:rsidRPr="009820A8">
              <w:rPr>
                <w:rStyle w:val="Lienhypertexte"/>
                <w:noProof/>
              </w:rPr>
              <w:t>Alternative solution – Performance-based regulatory incentives</w:t>
            </w:r>
            <w:r>
              <w:rPr>
                <w:noProof/>
                <w:webHidden/>
              </w:rPr>
              <w:tab/>
            </w:r>
            <w:r>
              <w:rPr>
                <w:noProof/>
                <w:webHidden/>
              </w:rPr>
              <w:fldChar w:fldCharType="begin"/>
            </w:r>
            <w:r>
              <w:rPr>
                <w:noProof/>
                <w:webHidden/>
              </w:rPr>
              <w:instrText xml:space="preserve"> PAGEREF _Toc226533708 \h </w:instrText>
            </w:r>
            <w:r>
              <w:rPr>
                <w:noProof/>
                <w:webHidden/>
              </w:rPr>
            </w:r>
            <w:r>
              <w:rPr>
                <w:noProof/>
                <w:webHidden/>
              </w:rPr>
              <w:fldChar w:fldCharType="separate"/>
            </w:r>
            <w:r>
              <w:rPr>
                <w:noProof/>
                <w:webHidden/>
              </w:rPr>
              <w:t>24</w:t>
            </w:r>
            <w:r>
              <w:rPr>
                <w:noProof/>
                <w:webHidden/>
              </w:rPr>
              <w:fldChar w:fldCharType="end"/>
            </w:r>
          </w:hyperlink>
        </w:p>
        <w:p w14:paraId="366B37C7" w14:textId="33A55028" w:rsidR="000666CD" w:rsidRDefault="000666CD">
          <w:pPr>
            <w:pStyle w:val="TM3"/>
            <w:tabs>
              <w:tab w:val="left" w:pos="1200"/>
              <w:tab w:val="right" w:leader="dot" w:pos="9062"/>
            </w:tabs>
            <w:rPr>
              <w:rFonts w:asciiTheme="minorHAnsi" w:eastAsiaTheme="minorEastAsia" w:hAnsiTheme="minorHAnsi"/>
              <w:iCs w:val="0"/>
              <w:noProof/>
              <w:kern w:val="2"/>
              <w:sz w:val="24"/>
              <w:szCs w:val="24"/>
              <w:lang w:val="fr-BE" w:eastAsia="fr-BE"/>
              <w14:ligatures w14:val="standardContextual"/>
            </w:rPr>
          </w:pPr>
          <w:hyperlink w:anchor="_Toc226533709" w:history="1">
            <w:r w:rsidRPr="009820A8">
              <w:rPr>
                <w:rStyle w:val="Lienhypertexte"/>
                <w:noProof/>
                <w:lang w:eastAsia="en-GB"/>
              </w:rPr>
              <w:t>4.3.1.</w:t>
            </w:r>
            <w:r>
              <w:rPr>
                <w:rFonts w:asciiTheme="minorHAnsi" w:eastAsiaTheme="minorEastAsia" w:hAnsiTheme="minorHAnsi"/>
                <w:iCs w:val="0"/>
                <w:noProof/>
                <w:kern w:val="2"/>
                <w:sz w:val="24"/>
                <w:szCs w:val="24"/>
                <w:lang w:val="fr-BE" w:eastAsia="fr-BE"/>
                <w14:ligatures w14:val="standardContextual"/>
              </w:rPr>
              <w:tab/>
            </w:r>
            <w:r w:rsidRPr="009820A8">
              <w:rPr>
                <w:rStyle w:val="Lienhypertexte"/>
                <w:noProof/>
                <w:lang w:eastAsia="en-GB"/>
              </w:rPr>
              <w:t>Rewarding good compliance rather than reacting to failures</w:t>
            </w:r>
            <w:r>
              <w:rPr>
                <w:noProof/>
                <w:webHidden/>
              </w:rPr>
              <w:tab/>
            </w:r>
            <w:r>
              <w:rPr>
                <w:noProof/>
                <w:webHidden/>
              </w:rPr>
              <w:fldChar w:fldCharType="begin"/>
            </w:r>
            <w:r>
              <w:rPr>
                <w:noProof/>
                <w:webHidden/>
              </w:rPr>
              <w:instrText xml:space="preserve"> PAGEREF _Toc226533709 \h </w:instrText>
            </w:r>
            <w:r>
              <w:rPr>
                <w:noProof/>
                <w:webHidden/>
              </w:rPr>
            </w:r>
            <w:r>
              <w:rPr>
                <w:noProof/>
                <w:webHidden/>
              </w:rPr>
              <w:fldChar w:fldCharType="separate"/>
            </w:r>
            <w:r>
              <w:rPr>
                <w:noProof/>
                <w:webHidden/>
              </w:rPr>
              <w:t>24</w:t>
            </w:r>
            <w:r>
              <w:rPr>
                <w:noProof/>
                <w:webHidden/>
              </w:rPr>
              <w:fldChar w:fldCharType="end"/>
            </w:r>
          </w:hyperlink>
        </w:p>
        <w:p w14:paraId="4A4795C0" w14:textId="06D96AF0" w:rsidR="000666CD" w:rsidRDefault="000666CD">
          <w:pPr>
            <w:pStyle w:val="TM3"/>
            <w:tabs>
              <w:tab w:val="left" w:pos="1200"/>
              <w:tab w:val="right" w:leader="dot" w:pos="9062"/>
            </w:tabs>
            <w:rPr>
              <w:rFonts w:asciiTheme="minorHAnsi" w:eastAsiaTheme="minorEastAsia" w:hAnsiTheme="minorHAnsi"/>
              <w:iCs w:val="0"/>
              <w:noProof/>
              <w:kern w:val="2"/>
              <w:sz w:val="24"/>
              <w:szCs w:val="24"/>
              <w:lang w:val="fr-BE" w:eastAsia="fr-BE"/>
              <w14:ligatures w14:val="standardContextual"/>
            </w:rPr>
          </w:pPr>
          <w:hyperlink w:anchor="_Toc226533710" w:history="1">
            <w:r w:rsidRPr="009820A8">
              <w:rPr>
                <w:rStyle w:val="Lienhypertexte"/>
                <w:noProof/>
                <w:lang w:eastAsia="en-GB"/>
              </w:rPr>
              <w:t>4.3.2.</w:t>
            </w:r>
            <w:r>
              <w:rPr>
                <w:rFonts w:asciiTheme="minorHAnsi" w:eastAsiaTheme="minorEastAsia" w:hAnsiTheme="minorHAnsi"/>
                <w:iCs w:val="0"/>
                <w:noProof/>
                <w:kern w:val="2"/>
                <w:sz w:val="24"/>
                <w:szCs w:val="24"/>
                <w:lang w:val="fr-BE" w:eastAsia="fr-BE"/>
                <w14:ligatures w14:val="standardContextual"/>
              </w:rPr>
              <w:tab/>
            </w:r>
            <w:r w:rsidRPr="009820A8">
              <w:rPr>
                <w:rStyle w:val="Lienhypertexte"/>
                <w:noProof/>
                <w:lang w:eastAsia="en-GB"/>
              </w:rPr>
              <w:t>Early lifecycle focus: where most issues arise</w:t>
            </w:r>
            <w:r>
              <w:rPr>
                <w:noProof/>
                <w:webHidden/>
              </w:rPr>
              <w:tab/>
            </w:r>
            <w:r>
              <w:rPr>
                <w:noProof/>
                <w:webHidden/>
              </w:rPr>
              <w:fldChar w:fldCharType="begin"/>
            </w:r>
            <w:r>
              <w:rPr>
                <w:noProof/>
                <w:webHidden/>
              </w:rPr>
              <w:instrText xml:space="preserve"> PAGEREF _Toc226533710 \h </w:instrText>
            </w:r>
            <w:r>
              <w:rPr>
                <w:noProof/>
                <w:webHidden/>
              </w:rPr>
            </w:r>
            <w:r>
              <w:rPr>
                <w:noProof/>
                <w:webHidden/>
              </w:rPr>
              <w:fldChar w:fldCharType="separate"/>
            </w:r>
            <w:r>
              <w:rPr>
                <w:noProof/>
                <w:webHidden/>
              </w:rPr>
              <w:t>24</w:t>
            </w:r>
            <w:r>
              <w:rPr>
                <w:noProof/>
                <w:webHidden/>
              </w:rPr>
              <w:fldChar w:fldCharType="end"/>
            </w:r>
          </w:hyperlink>
        </w:p>
        <w:p w14:paraId="3748B307" w14:textId="2CF83F19" w:rsidR="000666CD" w:rsidRDefault="000666CD">
          <w:pPr>
            <w:pStyle w:val="TM3"/>
            <w:tabs>
              <w:tab w:val="left" w:pos="1200"/>
              <w:tab w:val="right" w:leader="dot" w:pos="9062"/>
            </w:tabs>
            <w:rPr>
              <w:rFonts w:asciiTheme="minorHAnsi" w:eastAsiaTheme="minorEastAsia" w:hAnsiTheme="minorHAnsi"/>
              <w:iCs w:val="0"/>
              <w:noProof/>
              <w:kern w:val="2"/>
              <w:sz w:val="24"/>
              <w:szCs w:val="24"/>
              <w:lang w:val="fr-BE" w:eastAsia="fr-BE"/>
              <w14:ligatures w14:val="standardContextual"/>
            </w:rPr>
          </w:pPr>
          <w:hyperlink w:anchor="_Toc226533711" w:history="1">
            <w:r w:rsidRPr="009820A8">
              <w:rPr>
                <w:rStyle w:val="Lienhypertexte"/>
                <w:noProof/>
                <w:lang w:eastAsia="en-GB"/>
              </w:rPr>
              <w:t>4.3.3.</w:t>
            </w:r>
            <w:r>
              <w:rPr>
                <w:rFonts w:asciiTheme="minorHAnsi" w:eastAsiaTheme="minorEastAsia" w:hAnsiTheme="minorHAnsi"/>
                <w:iCs w:val="0"/>
                <w:noProof/>
                <w:kern w:val="2"/>
                <w:sz w:val="24"/>
                <w:szCs w:val="24"/>
                <w:lang w:val="fr-BE" w:eastAsia="fr-BE"/>
                <w14:ligatures w14:val="standardContextual"/>
              </w:rPr>
              <w:tab/>
            </w:r>
            <w:r w:rsidRPr="009820A8">
              <w:rPr>
                <w:rStyle w:val="Lienhypertexte"/>
                <w:noProof/>
                <w:lang w:eastAsia="en-GB"/>
              </w:rPr>
              <w:t>Late</w:t>
            </w:r>
            <w:r w:rsidRPr="009820A8">
              <w:rPr>
                <w:rStyle w:val="Lienhypertexte"/>
                <w:noProof/>
                <w:lang w:eastAsia="en-GB"/>
              </w:rPr>
              <w:noBreakHyphen/>
              <w:t>lifecycle risks: ensuring continued state of the art</w:t>
            </w:r>
            <w:r>
              <w:rPr>
                <w:noProof/>
                <w:webHidden/>
              </w:rPr>
              <w:tab/>
            </w:r>
            <w:r>
              <w:rPr>
                <w:noProof/>
                <w:webHidden/>
              </w:rPr>
              <w:fldChar w:fldCharType="begin"/>
            </w:r>
            <w:r>
              <w:rPr>
                <w:noProof/>
                <w:webHidden/>
              </w:rPr>
              <w:instrText xml:space="preserve"> PAGEREF _Toc226533711 \h </w:instrText>
            </w:r>
            <w:r>
              <w:rPr>
                <w:noProof/>
                <w:webHidden/>
              </w:rPr>
            </w:r>
            <w:r>
              <w:rPr>
                <w:noProof/>
                <w:webHidden/>
              </w:rPr>
              <w:fldChar w:fldCharType="separate"/>
            </w:r>
            <w:r>
              <w:rPr>
                <w:noProof/>
                <w:webHidden/>
              </w:rPr>
              <w:t>24</w:t>
            </w:r>
            <w:r>
              <w:rPr>
                <w:noProof/>
                <w:webHidden/>
              </w:rPr>
              <w:fldChar w:fldCharType="end"/>
            </w:r>
          </w:hyperlink>
        </w:p>
        <w:p w14:paraId="7B08E9EF" w14:textId="7B2B95D0" w:rsidR="000666CD" w:rsidRDefault="000666CD">
          <w:pPr>
            <w:pStyle w:val="TM3"/>
            <w:tabs>
              <w:tab w:val="left" w:pos="1200"/>
              <w:tab w:val="right" w:leader="dot" w:pos="9062"/>
            </w:tabs>
            <w:rPr>
              <w:rFonts w:asciiTheme="minorHAnsi" w:eastAsiaTheme="minorEastAsia" w:hAnsiTheme="minorHAnsi"/>
              <w:iCs w:val="0"/>
              <w:noProof/>
              <w:kern w:val="2"/>
              <w:sz w:val="24"/>
              <w:szCs w:val="24"/>
              <w:lang w:val="fr-BE" w:eastAsia="fr-BE"/>
              <w14:ligatures w14:val="standardContextual"/>
            </w:rPr>
          </w:pPr>
          <w:hyperlink w:anchor="_Toc226533712" w:history="1">
            <w:r w:rsidRPr="009820A8">
              <w:rPr>
                <w:rStyle w:val="Lienhypertexte"/>
                <w:noProof/>
                <w:lang w:eastAsia="en-GB"/>
              </w:rPr>
              <w:t>4.3.4.</w:t>
            </w:r>
            <w:r>
              <w:rPr>
                <w:rFonts w:asciiTheme="minorHAnsi" w:eastAsiaTheme="minorEastAsia" w:hAnsiTheme="minorHAnsi"/>
                <w:iCs w:val="0"/>
                <w:noProof/>
                <w:kern w:val="2"/>
                <w:sz w:val="24"/>
                <w:szCs w:val="24"/>
                <w:lang w:val="fr-BE" w:eastAsia="fr-BE"/>
                <w14:ligatures w14:val="standardContextual"/>
              </w:rPr>
              <w:tab/>
            </w:r>
            <w:r w:rsidRPr="009820A8">
              <w:rPr>
                <w:rStyle w:val="Lienhypertexte"/>
                <w:noProof/>
                <w:lang w:eastAsia="en-GB"/>
              </w:rPr>
              <w:t>Benefits of a performance</w:t>
            </w:r>
            <w:r w:rsidRPr="009820A8">
              <w:rPr>
                <w:rStyle w:val="Lienhypertexte"/>
                <w:noProof/>
                <w:lang w:eastAsia="en-GB"/>
              </w:rPr>
              <w:noBreakHyphen/>
              <w:t>based oversight model</w:t>
            </w:r>
            <w:r>
              <w:rPr>
                <w:noProof/>
                <w:webHidden/>
              </w:rPr>
              <w:tab/>
            </w:r>
            <w:r>
              <w:rPr>
                <w:noProof/>
                <w:webHidden/>
              </w:rPr>
              <w:fldChar w:fldCharType="begin"/>
            </w:r>
            <w:r>
              <w:rPr>
                <w:noProof/>
                <w:webHidden/>
              </w:rPr>
              <w:instrText xml:space="preserve"> PAGEREF _Toc226533712 \h </w:instrText>
            </w:r>
            <w:r>
              <w:rPr>
                <w:noProof/>
                <w:webHidden/>
              </w:rPr>
            </w:r>
            <w:r>
              <w:rPr>
                <w:noProof/>
                <w:webHidden/>
              </w:rPr>
              <w:fldChar w:fldCharType="separate"/>
            </w:r>
            <w:r>
              <w:rPr>
                <w:noProof/>
                <w:webHidden/>
              </w:rPr>
              <w:t>25</w:t>
            </w:r>
            <w:r>
              <w:rPr>
                <w:noProof/>
                <w:webHidden/>
              </w:rPr>
              <w:fldChar w:fldCharType="end"/>
            </w:r>
          </w:hyperlink>
        </w:p>
        <w:p w14:paraId="2003603A" w14:textId="128C5283" w:rsidR="000666CD" w:rsidRDefault="000666CD">
          <w:pPr>
            <w:pStyle w:val="TM1"/>
            <w:tabs>
              <w:tab w:val="left" w:pos="720"/>
              <w:tab w:val="right" w:leader="dot" w:pos="9062"/>
            </w:tabs>
            <w:rPr>
              <w:rFonts w:asciiTheme="minorHAnsi" w:eastAsiaTheme="minorEastAsia" w:hAnsiTheme="minorHAnsi"/>
              <w:iCs w:val="0"/>
              <w:noProof/>
              <w:kern w:val="2"/>
              <w:sz w:val="24"/>
              <w:szCs w:val="24"/>
              <w:lang w:val="fr-BE" w:eastAsia="fr-BE"/>
              <w14:ligatures w14:val="standardContextual"/>
            </w:rPr>
          </w:pPr>
          <w:hyperlink w:anchor="_Toc226533713" w:history="1">
            <w:r w:rsidRPr="009820A8">
              <w:rPr>
                <w:rStyle w:val="Lienhypertexte"/>
                <w:noProof/>
              </w:rPr>
              <w:t>5.</w:t>
            </w:r>
            <w:r>
              <w:rPr>
                <w:rFonts w:asciiTheme="minorHAnsi" w:eastAsiaTheme="minorEastAsia" w:hAnsiTheme="minorHAnsi"/>
                <w:iCs w:val="0"/>
                <w:noProof/>
                <w:kern w:val="2"/>
                <w:sz w:val="24"/>
                <w:szCs w:val="24"/>
                <w:lang w:val="fr-BE" w:eastAsia="fr-BE"/>
                <w14:ligatures w14:val="standardContextual"/>
              </w:rPr>
              <w:tab/>
            </w:r>
            <w:r w:rsidRPr="009820A8">
              <w:rPr>
                <w:rStyle w:val="Lienhypertexte"/>
                <w:noProof/>
              </w:rPr>
              <w:t>Change in Notified Bodies requirements tasks</w:t>
            </w:r>
            <w:r>
              <w:rPr>
                <w:noProof/>
                <w:webHidden/>
              </w:rPr>
              <w:tab/>
            </w:r>
            <w:r>
              <w:rPr>
                <w:noProof/>
                <w:webHidden/>
              </w:rPr>
              <w:fldChar w:fldCharType="begin"/>
            </w:r>
            <w:r>
              <w:rPr>
                <w:noProof/>
                <w:webHidden/>
              </w:rPr>
              <w:instrText xml:space="preserve"> PAGEREF _Toc226533713 \h </w:instrText>
            </w:r>
            <w:r>
              <w:rPr>
                <w:noProof/>
                <w:webHidden/>
              </w:rPr>
            </w:r>
            <w:r>
              <w:rPr>
                <w:noProof/>
                <w:webHidden/>
              </w:rPr>
              <w:fldChar w:fldCharType="separate"/>
            </w:r>
            <w:r>
              <w:rPr>
                <w:noProof/>
                <w:webHidden/>
              </w:rPr>
              <w:t>25</w:t>
            </w:r>
            <w:r>
              <w:rPr>
                <w:noProof/>
                <w:webHidden/>
              </w:rPr>
              <w:fldChar w:fldCharType="end"/>
            </w:r>
          </w:hyperlink>
        </w:p>
        <w:p w14:paraId="3C8F41D9" w14:textId="1A8FB06D" w:rsidR="000666CD" w:rsidRDefault="000666CD">
          <w:pPr>
            <w:pStyle w:val="TM2"/>
            <w:tabs>
              <w:tab w:val="left" w:pos="720"/>
              <w:tab w:val="right" w:leader="dot" w:pos="9062"/>
            </w:tabs>
            <w:rPr>
              <w:rFonts w:asciiTheme="minorHAnsi" w:eastAsiaTheme="minorEastAsia" w:hAnsiTheme="minorHAnsi"/>
              <w:iCs w:val="0"/>
              <w:noProof/>
              <w:kern w:val="2"/>
              <w:sz w:val="24"/>
              <w:szCs w:val="24"/>
              <w:lang w:val="fr-BE" w:eastAsia="fr-BE"/>
              <w14:ligatures w14:val="standardContextual"/>
            </w:rPr>
          </w:pPr>
          <w:hyperlink w:anchor="_Toc226533714" w:history="1">
            <w:r w:rsidRPr="009820A8">
              <w:rPr>
                <w:rStyle w:val="Lienhypertexte"/>
                <w:noProof/>
              </w:rPr>
              <w:t>5.1</w:t>
            </w:r>
            <w:r>
              <w:rPr>
                <w:rFonts w:asciiTheme="minorHAnsi" w:eastAsiaTheme="minorEastAsia" w:hAnsiTheme="minorHAnsi"/>
                <w:iCs w:val="0"/>
                <w:noProof/>
                <w:kern w:val="2"/>
                <w:sz w:val="24"/>
                <w:szCs w:val="24"/>
                <w:lang w:val="fr-BE" w:eastAsia="fr-BE"/>
                <w14:ligatures w14:val="standardContextual"/>
              </w:rPr>
              <w:tab/>
            </w:r>
            <w:r w:rsidRPr="009820A8">
              <w:rPr>
                <w:rStyle w:val="Lienhypertexte"/>
                <w:noProof/>
              </w:rPr>
              <w:t>High-level summary</w:t>
            </w:r>
            <w:r>
              <w:rPr>
                <w:noProof/>
                <w:webHidden/>
              </w:rPr>
              <w:tab/>
            </w:r>
            <w:r>
              <w:rPr>
                <w:noProof/>
                <w:webHidden/>
              </w:rPr>
              <w:fldChar w:fldCharType="begin"/>
            </w:r>
            <w:r>
              <w:rPr>
                <w:noProof/>
                <w:webHidden/>
              </w:rPr>
              <w:instrText xml:space="preserve"> PAGEREF _Toc226533714 \h </w:instrText>
            </w:r>
            <w:r>
              <w:rPr>
                <w:noProof/>
                <w:webHidden/>
              </w:rPr>
            </w:r>
            <w:r>
              <w:rPr>
                <w:noProof/>
                <w:webHidden/>
              </w:rPr>
              <w:fldChar w:fldCharType="separate"/>
            </w:r>
            <w:r>
              <w:rPr>
                <w:noProof/>
                <w:webHidden/>
              </w:rPr>
              <w:t>25</w:t>
            </w:r>
            <w:r>
              <w:rPr>
                <w:noProof/>
                <w:webHidden/>
              </w:rPr>
              <w:fldChar w:fldCharType="end"/>
            </w:r>
          </w:hyperlink>
        </w:p>
        <w:p w14:paraId="5EDE052F" w14:textId="05AFE8B0" w:rsidR="000666CD" w:rsidRDefault="000666CD">
          <w:pPr>
            <w:pStyle w:val="TM2"/>
            <w:tabs>
              <w:tab w:val="left" w:pos="720"/>
              <w:tab w:val="right" w:leader="dot" w:pos="9062"/>
            </w:tabs>
            <w:rPr>
              <w:rFonts w:asciiTheme="minorHAnsi" w:eastAsiaTheme="minorEastAsia" w:hAnsiTheme="minorHAnsi"/>
              <w:iCs w:val="0"/>
              <w:noProof/>
              <w:kern w:val="2"/>
              <w:sz w:val="24"/>
              <w:szCs w:val="24"/>
              <w:lang w:val="fr-BE" w:eastAsia="fr-BE"/>
              <w14:ligatures w14:val="standardContextual"/>
            </w:rPr>
          </w:pPr>
          <w:hyperlink w:anchor="_Toc226533715" w:history="1">
            <w:r w:rsidRPr="009820A8">
              <w:rPr>
                <w:rStyle w:val="Lienhypertexte"/>
                <w:noProof/>
              </w:rPr>
              <w:t>5.2</w:t>
            </w:r>
            <w:r>
              <w:rPr>
                <w:rFonts w:asciiTheme="minorHAnsi" w:eastAsiaTheme="minorEastAsia" w:hAnsiTheme="minorHAnsi"/>
                <w:iCs w:val="0"/>
                <w:noProof/>
                <w:kern w:val="2"/>
                <w:sz w:val="24"/>
                <w:szCs w:val="24"/>
                <w:lang w:val="fr-BE" w:eastAsia="fr-BE"/>
                <w14:ligatures w14:val="standardContextual"/>
              </w:rPr>
              <w:tab/>
            </w:r>
            <w:r w:rsidRPr="009820A8">
              <w:rPr>
                <w:rStyle w:val="Lienhypertexte"/>
                <w:noProof/>
              </w:rPr>
              <w:t>Financial components</w:t>
            </w:r>
            <w:r>
              <w:rPr>
                <w:noProof/>
                <w:webHidden/>
              </w:rPr>
              <w:tab/>
            </w:r>
            <w:r>
              <w:rPr>
                <w:noProof/>
                <w:webHidden/>
              </w:rPr>
              <w:fldChar w:fldCharType="begin"/>
            </w:r>
            <w:r>
              <w:rPr>
                <w:noProof/>
                <w:webHidden/>
              </w:rPr>
              <w:instrText xml:space="preserve"> PAGEREF _Toc226533715 \h </w:instrText>
            </w:r>
            <w:r>
              <w:rPr>
                <w:noProof/>
                <w:webHidden/>
              </w:rPr>
            </w:r>
            <w:r>
              <w:rPr>
                <w:noProof/>
                <w:webHidden/>
              </w:rPr>
              <w:fldChar w:fldCharType="separate"/>
            </w:r>
            <w:r>
              <w:rPr>
                <w:noProof/>
                <w:webHidden/>
              </w:rPr>
              <w:t>25</w:t>
            </w:r>
            <w:r>
              <w:rPr>
                <w:noProof/>
                <w:webHidden/>
              </w:rPr>
              <w:fldChar w:fldCharType="end"/>
            </w:r>
          </w:hyperlink>
        </w:p>
        <w:p w14:paraId="0679D6BC" w14:textId="326064DD" w:rsidR="000666CD" w:rsidRDefault="000666CD">
          <w:pPr>
            <w:pStyle w:val="TM2"/>
            <w:tabs>
              <w:tab w:val="left" w:pos="720"/>
              <w:tab w:val="right" w:leader="dot" w:pos="9062"/>
            </w:tabs>
            <w:rPr>
              <w:rFonts w:asciiTheme="minorHAnsi" w:eastAsiaTheme="minorEastAsia" w:hAnsiTheme="minorHAnsi"/>
              <w:iCs w:val="0"/>
              <w:noProof/>
              <w:kern w:val="2"/>
              <w:sz w:val="24"/>
              <w:szCs w:val="24"/>
              <w:lang w:val="fr-BE" w:eastAsia="fr-BE"/>
              <w14:ligatures w14:val="standardContextual"/>
            </w:rPr>
          </w:pPr>
          <w:hyperlink w:anchor="_Toc226533716" w:history="1">
            <w:r w:rsidRPr="009820A8">
              <w:rPr>
                <w:rStyle w:val="Lienhypertexte"/>
                <w:noProof/>
              </w:rPr>
              <w:t>5.3</w:t>
            </w:r>
            <w:r>
              <w:rPr>
                <w:rFonts w:asciiTheme="minorHAnsi" w:eastAsiaTheme="minorEastAsia" w:hAnsiTheme="minorHAnsi"/>
                <w:iCs w:val="0"/>
                <w:noProof/>
                <w:kern w:val="2"/>
                <w:sz w:val="24"/>
                <w:szCs w:val="24"/>
                <w:lang w:val="fr-BE" w:eastAsia="fr-BE"/>
                <w14:ligatures w14:val="standardContextual"/>
              </w:rPr>
              <w:tab/>
            </w:r>
            <w:r w:rsidRPr="009820A8">
              <w:rPr>
                <w:rStyle w:val="Lienhypertexte"/>
                <w:noProof/>
              </w:rPr>
              <w:t>Change in NB Monitoring and Surveillance</w:t>
            </w:r>
            <w:r>
              <w:rPr>
                <w:noProof/>
                <w:webHidden/>
              </w:rPr>
              <w:tab/>
            </w:r>
            <w:r>
              <w:rPr>
                <w:noProof/>
                <w:webHidden/>
              </w:rPr>
              <w:fldChar w:fldCharType="begin"/>
            </w:r>
            <w:r>
              <w:rPr>
                <w:noProof/>
                <w:webHidden/>
              </w:rPr>
              <w:instrText xml:space="preserve"> PAGEREF _Toc226533716 \h </w:instrText>
            </w:r>
            <w:r>
              <w:rPr>
                <w:noProof/>
                <w:webHidden/>
              </w:rPr>
            </w:r>
            <w:r>
              <w:rPr>
                <w:noProof/>
                <w:webHidden/>
              </w:rPr>
              <w:fldChar w:fldCharType="separate"/>
            </w:r>
            <w:r>
              <w:rPr>
                <w:noProof/>
                <w:webHidden/>
              </w:rPr>
              <w:t>28</w:t>
            </w:r>
            <w:r>
              <w:rPr>
                <w:noProof/>
                <w:webHidden/>
              </w:rPr>
              <w:fldChar w:fldCharType="end"/>
            </w:r>
          </w:hyperlink>
        </w:p>
        <w:p w14:paraId="0B2FAB0A" w14:textId="1D8DC209" w:rsidR="000666CD" w:rsidRDefault="000666CD">
          <w:pPr>
            <w:pStyle w:val="TM2"/>
            <w:tabs>
              <w:tab w:val="left" w:pos="720"/>
              <w:tab w:val="right" w:leader="dot" w:pos="9062"/>
            </w:tabs>
            <w:rPr>
              <w:rFonts w:asciiTheme="minorHAnsi" w:eastAsiaTheme="minorEastAsia" w:hAnsiTheme="minorHAnsi"/>
              <w:iCs w:val="0"/>
              <w:noProof/>
              <w:kern w:val="2"/>
              <w:sz w:val="24"/>
              <w:szCs w:val="24"/>
              <w:lang w:val="fr-BE" w:eastAsia="fr-BE"/>
              <w14:ligatures w14:val="standardContextual"/>
            </w:rPr>
          </w:pPr>
          <w:hyperlink w:anchor="_Toc226533717" w:history="1">
            <w:r w:rsidRPr="009820A8">
              <w:rPr>
                <w:rStyle w:val="Lienhypertexte"/>
                <w:noProof/>
              </w:rPr>
              <w:t>5.4</w:t>
            </w:r>
            <w:r>
              <w:rPr>
                <w:rFonts w:asciiTheme="minorHAnsi" w:eastAsiaTheme="minorEastAsia" w:hAnsiTheme="minorHAnsi"/>
                <w:iCs w:val="0"/>
                <w:noProof/>
                <w:kern w:val="2"/>
                <w:sz w:val="24"/>
                <w:szCs w:val="24"/>
                <w:lang w:val="fr-BE" w:eastAsia="fr-BE"/>
                <w14:ligatures w14:val="standardContextual"/>
              </w:rPr>
              <w:tab/>
            </w:r>
            <w:r w:rsidRPr="009820A8">
              <w:rPr>
                <w:rStyle w:val="Lienhypertexte"/>
                <w:noProof/>
              </w:rPr>
              <w:t>Competency</w:t>
            </w:r>
            <w:r>
              <w:rPr>
                <w:noProof/>
                <w:webHidden/>
              </w:rPr>
              <w:tab/>
            </w:r>
            <w:r>
              <w:rPr>
                <w:noProof/>
                <w:webHidden/>
              </w:rPr>
              <w:fldChar w:fldCharType="begin"/>
            </w:r>
            <w:r>
              <w:rPr>
                <w:noProof/>
                <w:webHidden/>
              </w:rPr>
              <w:instrText xml:space="preserve"> PAGEREF _Toc226533717 \h </w:instrText>
            </w:r>
            <w:r>
              <w:rPr>
                <w:noProof/>
                <w:webHidden/>
              </w:rPr>
            </w:r>
            <w:r>
              <w:rPr>
                <w:noProof/>
                <w:webHidden/>
              </w:rPr>
              <w:fldChar w:fldCharType="separate"/>
            </w:r>
            <w:r>
              <w:rPr>
                <w:noProof/>
                <w:webHidden/>
              </w:rPr>
              <w:t>29</w:t>
            </w:r>
            <w:r>
              <w:rPr>
                <w:noProof/>
                <w:webHidden/>
              </w:rPr>
              <w:fldChar w:fldCharType="end"/>
            </w:r>
          </w:hyperlink>
        </w:p>
        <w:p w14:paraId="3EC14FB6" w14:textId="2453085B" w:rsidR="000666CD" w:rsidRDefault="000666CD">
          <w:pPr>
            <w:pStyle w:val="TM2"/>
            <w:tabs>
              <w:tab w:val="left" w:pos="720"/>
              <w:tab w:val="right" w:leader="dot" w:pos="9062"/>
            </w:tabs>
            <w:rPr>
              <w:rFonts w:asciiTheme="minorHAnsi" w:eastAsiaTheme="minorEastAsia" w:hAnsiTheme="minorHAnsi"/>
              <w:iCs w:val="0"/>
              <w:noProof/>
              <w:kern w:val="2"/>
              <w:sz w:val="24"/>
              <w:szCs w:val="24"/>
              <w:lang w:val="fr-BE" w:eastAsia="fr-BE"/>
              <w14:ligatures w14:val="standardContextual"/>
            </w:rPr>
          </w:pPr>
          <w:hyperlink w:anchor="_Toc226533718" w:history="1">
            <w:r w:rsidRPr="009820A8">
              <w:rPr>
                <w:rStyle w:val="Lienhypertexte"/>
                <w:noProof/>
              </w:rPr>
              <w:t>5.5</w:t>
            </w:r>
            <w:r>
              <w:rPr>
                <w:rFonts w:asciiTheme="minorHAnsi" w:eastAsiaTheme="minorEastAsia" w:hAnsiTheme="minorHAnsi"/>
                <w:iCs w:val="0"/>
                <w:noProof/>
                <w:kern w:val="2"/>
                <w:sz w:val="24"/>
                <w:szCs w:val="24"/>
                <w:lang w:val="fr-BE" w:eastAsia="fr-BE"/>
                <w14:ligatures w14:val="standardContextual"/>
              </w:rPr>
              <w:tab/>
            </w:r>
            <w:r w:rsidRPr="009820A8">
              <w:rPr>
                <w:rStyle w:val="Lienhypertexte"/>
                <w:noProof/>
              </w:rPr>
              <w:t>Patient Safety</w:t>
            </w:r>
            <w:r>
              <w:rPr>
                <w:noProof/>
                <w:webHidden/>
              </w:rPr>
              <w:tab/>
            </w:r>
            <w:r>
              <w:rPr>
                <w:noProof/>
                <w:webHidden/>
              </w:rPr>
              <w:fldChar w:fldCharType="begin"/>
            </w:r>
            <w:r>
              <w:rPr>
                <w:noProof/>
                <w:webHidden/>
              </w:rPr>
              <w:instrText xml:space="preserve"> PAGEREF _Toc226533718 \h </w:instrText>
            </w:r>
            <w:r>
              <w:rPr>
                <w:noProof/>
                <w:webHidden/>
              </w:rPr>
            </w:r>
            <w:r>
              <w:rPr>
                <w:noProof/>
                <w:webHidden/>
              </w:rPr>
              <w:fldChar w:fldCharType="separate"/>
            </w:r>
            <w:r>
              <w:rPr>
                <w:noProof/>
                <w:webHidden/>
              </w:rPr>
              <w:t>30</w:t>
            </w:r>
            <w:r>
              <w:rPr>
                <w:noProof/>
                <w:webHidden/>
              </w:rPr>
              <w:fldChar w:fldCharType="end"/>
            </w:r>
          </w:hyperlink>
        </w:p>
        <w:p w14:paraId="191BD1FC" w14:textId="29B79B1A" w:rsidR="000666CD" w:rsidRDefault="000666CD">
          <w:pPr>
            <w:pStyle w:val="TM1"/>
            <w:tabs>
              <w:tab w:val="left" w:pos="720"/>
              <w:tab w:val="right" w:leader="dot" w:pos="9062"/>
            </w:tabs>
            <w:rPr>
              <w:rFonts w:asciiTheme="minorHAnsi" w:eastAsiaTheme="minorEastAsia" w:hAnsiTheme="minorHAnsi"/>
              <w:iCs w:val="0"/>
              <w:noProof/>
              <w:kern w:val="2"/>
              <w:sz w:val="24"/>
              <w:szCs w:val="24"/>
              <w:lang w:val="fr-BE" w:eastAsia="fr-BE"/>
              <w14:ligatures w14:val="standardContextual"/>
            </w:rPr>
          </w:pPr>
          <w:hyperlink w:anchor="_Toc226533719" w:history="1">
            <w:r w:rsidRPr="009820A8">
              <w:rPr>
                <w:rStyle w:val="Lienhypertexte"/>
                <w:noProof/>
              </w:rPr>
              <w:t>6.</w:t>
            </w:r>
            <w:r>
              <w:rPr>
                <w:rFonts w:asciiTheme="minorHAnsi" w:eastAsiaTheme="minorEastAsia" w:hAnsiTheme="minorHAnsi"/>
                <w:iCs w:val="0"/>
                <w:noProof/>
                <w:kern w:val="2"/>
                <w:sz w:val="24"/>
                <w:szCs w:val="24"/>
                <w:lang w:val="fr-BE" w:eastAsia="fr-BE"/>
                <w14:ligatures w14:val="standardContextual"/>
              </w:rPr>
              <w:tab/>
            </w:r>
            <w:r w:rsidRPr="009820A8">
              <w:rPr>
                <w:rStyle w:val="Lienhypertexte"/>
                <w:noProof/>
              </w:rPr>
              <w:t>Conclusion</w:t>
            </w:r>
            <w:r>
              <w:rPr>
                <w:noProof/>
                <w:webHidden/>
              </w:rPr>
              <w:tab/>
            </w:r>
            <w:r>
              <w:rPr>
                <w:noProof/>
                <w:webHidden/>
              </w:rPr>
              <w:fldChar w:fldCharType="begin"/>
            </w:r>
            <w:r>
              <w:rPr>
                <w:noProof/>
                <w:webHidden/>
              </w:rPr>
              <w:instrText xml:space="preserve"> PAGEREF _Toc226533719 \h </w:instrText>
            </w:r>
            <w:r>
              <w:rPr>
                <w:noProof/>
                <w:webHidden/>
              </w:rPr>
            </w:r>
            <w:r>
              <w:rPr>
                <w:noProof/>
                <w:webHidden/>
              </w:rPr>
              <w:fldChar w:fldCharType="separate"/>
            </w:r>
            <w:r>
              <w:rPr>
                <w:noProof/>
                <w:webHidden/>
              </w:rPr>
              <w:t>32</w:t>
            </w:r>
            <w:r>
              <w:rPr>
                <w:noProof/>
                <w:webHidden/>
              </w:rPr>
              <w:fldChar w:fldCharType="end"/>
            </w:r>
          </w:hyperlink>
        </w:p>
        <w:p w14:paraId="5B53745B" w14:textId="5EFC8540" w:rsidR="000666CD" w:rsidRDefault="000666CD">
          <w:pPr>
            <w:pStyle w:val="TM1"/>
            <w:tabs>
              <w:tab w:val="left" w:pos="720"/>
              <w:tab w:val="right" w:leader="dot" w:pos="9062"/>
            </w:tabs>
            <w:rPr>
              <w:rFonts w:asciiTheme="minorHAnsi" w:eastAsiaTheme="minorEastAsia" w:hAnsiTheme="minorHAnsi"/>
              <w:iCs w:val="0"/>
              <w:noProof/>
              <w:kern w:val="2"/>
              <w:sz w:val="24"/>
              <w:szCs w:val="24"/>
              <w:lang w:val="fr-BE" w:eastAsia="fr-BE"/>
              <w14:ligatures w14:val="standardContextual"/>
            </w:rPr>
          </w:pPr>
          <w:hyperlink w:anchor="_Toc226533720" w:history="1">
            <w:r w:rsidRPr="009820A8">
              <w:rPr>
                <w:rStyle w:val="Lienhypertexte"/>
                <w:noProof/>
                <w:lang w:val="fr-BE"/>
              </w:rPr>
              <w:t>7.</w:t>
            </w:r>
            <w:r>
              <w:rPr>
                <w:rFonts w:asciiTheme="minorHAnsi" w:eastAsiaTheme="minorEastAsia" w:hAnsiTheme="minorHAnsi"/>
                <w:iCs w:val="0"/>
                <w:noProof/>
                <w:kern w:val="2"/>
                <w:sz w:val="24"/>
                <w:szCs w:val="24"/>
                <w:lang w:val="fr-BE" w:eastAsia="fr-BE"/>
                <w14:ligatures w14:val="standardContextual"/>
              </w:rPr>
              <w:tab/>
            </w:r>
            <w:r w:rsidRPr="009820A8">
              <w:rPr>
                <w:rStyle w:val="Lienhypertexte"/>
                <w:noProof/>
                <w:lang w:val="fr-BE"/>
              </w:rPr>
              <w:t>Annex I: Legislative proposals</w:t>
            </w:r>
            <w:r>
              <w:rPr>
                <w:noProof/>
                <w:webHidden/>
              </w:rPr>
              <w:tab/>
            </w:r>
            <w:r>
              <w:rPr>
                <w:noProof/>
                <w:webHidden/>
              </w:rPr>
              <w:fldChar w:fldCharType="begin"/>
            </w:r>
            <w:r>
              <w:rPr>
                <w:noProof/>
                <w:webHidden/>
              </w:rPr>
              <w:instrText xml:space="preserve"> PAGEREF _Toc226533720 \h </w:instrText>
            </w:r>
            <w:r>
              <w:rPr>
                <w:noProof/>
                <w:webHidden/>
              </w:rPr>
            </w:r>
            <w:r>
              <w:rPr>
                <w:noProof/>
                <w:webHidden/>
              </w:rPr>
              <w:fldChar w:fldCharType="separate"/>
            </w:r>
            <w:r>
              <w:rPr>
                <w:noProof/>
                <w:webHidden/>
              </w:rPr>
              <w:t>34</w:t>
            </w:r>
            <w:r>
              <w:rPr>
                <w:noProof/>
                <w:webHidden/>
              </w:rPr>
              <w:fldChar w:fldCharType="end"/>
            </w:r>
          </w:hyperlink>
        </w:p>
        <w:p w14:paraId="63E76981" w14:textId="2BA3AFA9" w:rsidR="009216E7" w:rsidRDefault="005F72C7" w:rsidP="00B72915">
          <w:r w:rsidRPr="004A7E5E">
            <w:rPr>
              <w:b/>
              <w:bCs/>
              <w:sz w:val="20"/>
              <w:szCs w:val="20"/>
              <w:lang w:val="fr-FR"/>
            </w:rPr>
            <w:fldChar w:fldCharType="end"/>
          </w:r>
        </w:p>
      </w:sdtContent>
    </w:sdt>
    <w:p w14:paraId="3441AF2E" w14:textId="77777777" w:rsidR="00012904" w:rsidRDefault="00E12B31" w:rsidP="00E21C91">
      <w:pPr>
        <w:pStyle w:val="Titre1"/>
        <w:jc w:val="center"/>
      </w:pPr>
      <w:bookmarkStart w:id="1" w:name="_Toc226533681"/>
      <w:r>
        <w:t>Introduction</w:t>
      </w:r>
      <w:bookmarkEnd w:id="1"/>
    </w:p>
    <w:p w14:paraId="08F7B75D" w14:textId="29305604" w:rsidR="00012904" w:rsidRDefault="00012904" w:rsidP="00B72915">
      <w:pPr>
        <w:spacing w:after="0"/>
      </w:pPr>
      <w:r>
        <w:t xml:space="preserve">This document presents the outcome of a structured </w:t>
      </w:r>
      <w:r w:rsidR="005712F5">
        <w:t xml:space="preserve">notified body </w:t>
      </w:r>
      <w:r>
        <w:t>review in response to the proposed targeted revision of the EU Medical Devices and In Vitro Diagnostic Regulations.</w:t>
      </w:r>
    </w:p>
    <w:p w14:paraId="0C3C55B6" w14:textId="77777777" w:rsidR="00B81D24" w:rsidRDefault="00012904">
      <w:pPr>
        <w:spacing w:after="0"/>
      </w:pPr>
      <w:r>
        <w:t xml:space="preserve">Approximately 50 notified body experts, representing a broad range of technical, clinical and regulatory expertise, contributed to this work. </w:t>
      </w:r>
    </w:p>
    <w:p w14:paraId="2242175F" w14:textId="094DE44F" w:rsidR="00012904" w:rsidRDefault="00012904" w:rsidP="00B72915">
      <w:pPr>
        <w:spacing w:after="0"/>
      </w:pPr>
      <w:r>
        <w:t xml:space="preserve">The experts were organised into four dedicated task forces, each focusing on one of the key thematic areas affected by the proposed revision. The work </w:t>
      </w:r>
      <w:r w:rsidR="0036681A">
        <w:t>was carried</w:t>
      </w:r>
      <w:r>
        <w:t xml:space="preserve"> out through coordinated drafting, technical exchanges and iterative consolidation across task forces to ensure consistency and coherence of the overall message.</w:t>
      </w:r>
      <w:r w:rsidR="00BA276C">
        <w:t xml:space="preserve"> The work was coordinated by Team-NB, </w:t>
      </w:r>
      <w:r w:rsidR="0099120D">
        <w:t>while</w:t>
      </w:r>
      <w:r w:rsidR="00BA276C">
        <w:t xml:space="preserve"> participation in the taskforces was </w:t>
      </w:r>
      <w:r w:rsidR="00DC33CD">
        <w:t xml:space="preserve">open to </w:t>
      </w:r>
      <w:r w:rsidR="00AB15FD">
        <w:t xml:space="preserve">all notified bodies, including non-Team-NB members. </w:t>
      </w:r>
    </w:p>
    <w:p w14:paraId="47611E4D" w14:textId="77777777" w:rsidR="005712F5" w:rsidRDefault="005712F5" w:rsidP="004F446A">
      <w:pPr>
        <w:spacing w:after="0"/>
      </w:pPr>
    </w:p>
    <w:p w14:paraId="5C874DE9" w14:textId="015224F9" w:rsidR="00012904" w:rsidRDefault="00012904" w:rsidP="00B72915">
      <w:pPr>
        <w:spacing w:after="0"/>
      </w:pPr>
      <w:r>
        <w:t>The four task forces addressed the following core topics:</w:t>
      </w:r>
    </w:p>
    <w:p w14:paraId="0EE85842" w14:textId="77777777" w:rsidR="00012904" w:rsidRDefault="00012904" w:rsidP="00B72915">
      <w:pPr>
        <w:pStyle w:val="Paragraphedeliste"/>
        <w:numPr>
          <w:ilvl w:val="0"/>
          <w:numId w:val="103"/>
        </w:numPr>
        <w:spacing w:after="0"/>
      </w:pPr>
      <w:r w:rsidRPr="00B72915">
        <w:rPr>
          <w:b/>
          <w:bCs/>
        </w:rPr>
        <w:t>Governance</w:t>
      </w:r>
      <w:r>
        <w:t>, including Union</w:t>
      </w:r>
      <w:r w:rsidRPr="005712F5">
        <w:rPr>
          <w:rFonts w:ascii="Cambria Math" w:hAnsi="Cambria Math" w:cs="Cambria Math"/>
        </w:rPr>
        <w:t>‑</w:t>
      </w:r>
      <w:r>
        <w:t>level coordination, expert panel structures and system</w:t>
      </w:r>
      <w:r w:rsidRPr="005712F5">
        <w:rPr>
          <w:rFonts w:ascii="Cambria Math" w:hAnsi="Cambria Math" w:cs="Cambria Math"/>
        </w:rPr>
        <w:t>‑</w:t>
      </w:r>
      <w:r>
        <w:t>level efficiency;</w:t>
      </w:r>
    </w:p>
    <w:p w14:paraId="028E9274" w14:textId="77777777" w:rsidR="00012904" w:rsidRDefault="00012904" w:rsidP="00B72915">
      <w:pPr>
        <w:pStyle w:val="Paragraphedeliste"/>
        <w:numPr>
          <w:ilvl w:val="0"/>
          <w:numId w:val="103"/>
        </w:numPr>
        <w:spacing w:after="0"/>
      </w:pPr>
      <w:r w:rsidRPr="00B72915">
        <w:rPr>
          <w:b/>
          <w:bCs/>
        </w:rPr>
        <w:t>Safety</w:t>
      </w:r>
      <w:r>
        <w:t>, with a focus on maintaining preventive regulatory safeguards across the device lifecycle;</w:t>
      </w:r>
    </w:p>
    <w:p w14:paraId="329521A4" w14:textId="77777777" w:rsidR="00012904" w:rsidRDefault="00012904" w:rsidP="00B72915">
      <w:pPr>
        <w:pStyle w:val="Paragraphedeliste"/>
        <w:numPr>
          <w:ilvl w:val="0"/>
          <w:numId w:val="103"/>
        </w:numPr>
        <w:spacing w:after="0"/>
      </w:pPr>
      <w:r w:rsidRPr="00B72915">
        <w:rPr>
          <w:b/>
          <w:bCs/>
        </w:rPr>
        <w:t>Clinical evaluation</w:t>
      </w:r>
      <w:r>
        <w:t>, including well</w:t>
      </w:r>
      <w:r w:rsidRPr="005712F5">
        <w:rPr>
          <w:rFonts w:ascii="Cambria Math" w:hAnsi="Cambria Math" w:cs="Cambria Math"/>
        </w:rPr>
        <w:t>‑</w:t>
      </w:r>
      <w:r>
        <w:t>established technologies (WET), Article 61(10) and equivalence;</w:t>
      </w:r>
    </w:p>
    <w:p w14:paraId="1E385E95" w14:textId="77777777" w:rsidR="00012904" w:rsidRDefault="00012904" w:rsidP="00B72915">
      <w:pPr>
        <w:pStyle w:val="Paragraphedeliste"/>
        <w:numPr>
          <w:ilvl w:val="0"/>
          <w:numId w:val="103"/>
        </w:numPr>
        <w:spacing w:after="0"/>
      </w:pPr>
      <w:r w:rsidRPr="00B72915">
        <w:rPr>
          <w:b/>
          <w:bCs/>
        </w:rPr>
        <w:t>Notified Body requirements</w:t>
      </w:r>
      <w:r>
        <w:t>, covering designation, monitoring, surveillance, competency and sustainability of the notified body system.</w:t>
      </w:r>
    </w:p>
    <w:p w14:paraId="739147FA" w14:textId="77777777" w:rsidR="00012904" w:rsidRDefault="00012904" w:rsidP="00B72915">
      <w:pPr>
        <w:spacing w:after="0"/>
      </w:pPr>
    </w:p>
    <w:p w14:paraId="2B39CF3F" w14:textId="27833776" w:rsidR="00012904" w:rsidRDefault="00012904" w:rsidP="004F446A">
      <w:pPr>
        <w:spacing w:after="0"/>
      </w:pPr>
      <w:r>
        <w:lastRenderedPageBreak/>
        <w:t>The proposals, concerns and suggested solutions developed by the task forces have been consolidated into this document. Together, they reflect the collective experience of notified bodies gained through MDR and IVDR implementation and aim to support a revision framework that maintains patient safety, regulatory robustness and legal certainty, while improving predictability and operational efficiency.</w:t>
      </w:r>
    </w:p>
    <w:p w14:paraId="19C5825A" w14:textId="77777777" w:rsidR="00A3256A" w:rsidRPr="00012904" w:rsidRDefault="00A3256A" w:rsidP="00B72915">
      <w:pPr>
        <w:spacing w:after="0"/>
      </w:pPr>
    </w:p>
    <w:p w14:paraId="168B5197" w14:textId="46CFFDA0" w:rsidR="002637D0" w:rsidRPr="00E21C91" w:rsidDel="0011462B" w:rsidRDefault="00C35125" w:rsidP="00E21C91">
      <w:pPr>
        <w:pStyle w:val="Titre1"/>
        <w:jc w:val="center"/>
        <w:rPr>
          <w:rStyle w:val="lev"/>
          <w:b/>
          <w:bCs/>
        </w:rPr>
      </w:pPr>
      <w:bookmarkStart w:id="2" w:name="_Toc226533682"/>
      <w:r>
        <w:t>Governanc</w:t>
      </w:r>
      <w:bookmarkStart w:id="3" w:name="_Toc225932454"/>
      <w:bookmarkStart w:id="4" w:name="_Toc225929316"/>
      <w:bookmarkStart w:id="5" w:name="_Toc225929758"/>
      <w:bookmarkStart w:id="6" w:name="_Toc225932015"/>
      <w:bookmarkStart w:id="7" w:name="_Toc225932895"/>
      <w:bookmarkStart w:id="8" w:name="_Toc225933335"/>
      <w:bookmarkStart w:id="9" w:name="_Toc225948642"/>
      <w:bookmarkStart w:id="10" w:name="_Toc225949272"/>
      <w:bookmarkStart w:id="11" w:name="_Toc225963317"/>
      <w:bookmarkStart w:id="12" w:name="_Toc225929317"/>
      <w:bookmarkStart w:id="13" w:name="_Toc225929759"/>
      <w:bookmarkStart w:id="14" w:name="_Toc225930212"/>
      <w:bookmarkStart w:id="15" w:name="_Toc225930663"/>
      <w:bookmarkStart w:id="16" w:name="_Toc225931121"/>
      <w:bookmarkStart w:id="17" w:name="_Toc225931578"/>
      <w:bookmarkStart w:id="18" w:name="_Toc225932018"/>
      <w:bookmarkStart w:id="19" w:name="_Toc225932458"/>
      <w:bookmarkStart w:id="20" w:name="_Toc225932898"/>
      <w:bookmarkStart w:id="21" w:name="_Toc225933338"/>
      <w:bookmarkStart w:id="22" w:name="_Toc225110535"/>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004D51BB">
        <w:t>e</w:t>
      </w:r>
      <w:bookmarkEnd w:id="2"/>
    </w:p>
    <w:p w14:paraId="3F471484" w14:textId="77777777" w:rsidR="00850AD8" w:rsidRPr="004A7E5E" w:rsidRDefault="00850AD8" w:rsidP="0024535D">
      <w:pPr>
        <w:pStyle w:val="Titre2"/>
      </w:pPr>
      <w:bookmarkStart w:id="23" w:name="_Toc225929318"/>
      <w:bookmarkStart w:id="24" w:name="_Toc225929760"/>
      <w:bookmarkStart w:id="25" w:name="_Toc225930213"/>
      <w:bookmarkStart w:id="26" w:name="_Toc225930664"/>
      <w:bookmarkStart w:id="27" w:name="_Toc225931122"/>
      <w:bookmarkStart w:id="28" w:name="_Toc225931579"/>
      <w:bookmarkStart w:id="29" w:name="_Toc225932019"/>
      <w:bookmarkStart w:id="30" w:name="_Toc225932459"/>
      <w:bookmarkStart w:id="31" w:name="_Toc225932899"/>
      <w:bookmarkStart w:id="32" w:name="_Toc225933339"/>
      <w:bookmarkStart w:id="33" w:name="_Toc225948646"/>
      <w:bookmarkStart w:id="34" w:name="_Toc225949275"/>
      <w:bookmarkStart w:id="35" w:name="_Toc225963320"/>
      <w:bookmarkStart w:id="36" w:name="_Toc225929319"/>
      <w:bookmarkStart w:id="37" w:name="_Toc225929761"/>
      <w:bookmarkStart w:id="38" w:name="_Toc225930214"/>
      <w:bookmarkStart w:id="39" w:name="_Toc225930665"/>
      <w:bookmarkStart w:id="40" w:name="_Toc225931123"/>
      <w:bookmarkStart w:id="41" w:name="_Toc225931580"/>
      <w:bookmarkStart w:id="42" w:name="_Toc225932020"/>
      <w:bookmarkStart w:id="43" w:name="_Toc225932460"/>
      <w:bookmarkStart w:id="44" w:name="_Toc225932900"/>
      <w:bookmarkStart w:id="45" w:name="_Toc225933340"/>
      <w:bookmarkStart w:id="46" w:name="_Toc225948647"/>
      <w:bookmarkStart w:id="47" w:name="_Toc225949276"/>
      <w:bookmarkStart w:id="48" w:name="_Toc225963321"/>
      <w:bookmarkStart w:id="49" w:name="_Toc225929320"/>
      <w:bookmarkStart w:id="50" w:name="_Toc225929762"/>
      <w:bookmarkStart w:id="51" w:name="_Toc225930215"/>
      <w:bookmarkStart w:id="52" w:name="_Toc225930666"/>
      <w:bookmarkStart w:id="53" w:name="_Toc225931124"/>
      <w:bookmarkStart w:id="54" w:name="_Toc225931581"/>
      <w:bookmarkStart w:id="55" w:name="_Toc225932021"/>
      <w:bookmarkStart w:id="56" w:name="_Toc225932461"/>
      <w:bookmarkStart w:id="57" w:name="_Toc225932901"/>
      <w:bookmarkStart w:id="58" w:name="_Toc225933341"/>
      <w:bookmarkStart w:id="59" w:name="_Toc225948648"/>
      <w:bookmarkStart w:id="60" w:name="_Toc225949277"/>
      <w:bookmarkStart w:id="61" w:name="_Toc225963322"/>
      <w:bookmarkStart w:id="62" w:name="_Toc225929321"/>
      <w:bookmarkStart w:id="63" w:name="_Toc225929763"/>
      <w:bookmarkStart w:id="64" w:name="_Toc225930216"/>
      <w:bookmarkStart w:id="65" w:name="_Toc225930667"/>
      <w:bookmarkStart w:id="66" w:name="_Toc225931125"/>
      <w:bookmarkStart w:id="67" w:name="_Toc225931582"/>
      <w:bookmarkStart w:id="68" w:name="_Toc225932022"/>
      <w:bookmarkStart w:id="69" w:name="_Toc225932462"/>
      <w:bookmarkStart w:id="70" w:name="_Toc225932902"/>
      <w:bookmarkStart w:id="71" w:name="_Toc225933342"/>
      <w:bookmarkStart w:id="72" w:name="_Toc225948649"/>
      <w:bookmarkStart w:id="73" w:name="_Toc225949278"/>
      <w:bookmarkStart w:id="74" w:name="_Toc225963323"/>
      <w:bookmarkStart w:id="75" w:name="_Toc225929322"/>
      <w:bookmarkStart w:id="76" w:name="_Toc225929764"/>
      <w:bookmarkStart w:id="77" w:name="_Toc225930217"/>
      <w:bookmarkStart w:id="78" w:name="_Toc225930668"/>
      <w:bookmarkStart w:id="79" w:name="_Toc225931126"/>
      <w:bookmarkStart w:id="80" w:name="_Toc225931583"/>
      <w:bookmarkStart w:id="81" w:name="_Toc225932023"/>
      <w:bookmarkStart w:id="82" w:name="_Toc225932463"/>
      <w:bookmarkStart w:id="83" w:name="_Toc225932903"/>
      <w:bookmarkStart w:id="84" w:name="_Toc225933343"/>
      <w:bookmarkStart w:id="85" w:name="_Toc225948650"/>
      <w:bookmarkStart w:id="86" w:name="_Toc225949279"/>
      <w:bookmarkStart w:id="87" w:name="_Toc225963324"/>
      <w:bookmarkStart w:id="88" w:name="_Toc225929323"/>
      <w:bookmarkStart w:id="89" w:name="_Toc225929765"/>
      <w:bookmarkStart w:id="90" w:name="_Toc225930218"/>
      <w:bookmarkStart w:id="91" w:name="_Toc225930669"/>
      <w:bookmarkStart w:id="92" w:name="_Toc225931127"/>
      <w:bookmarkStart w:id="93" w:name="_Toc225931584"/>
      <w:bookmarkStart w:id="94" w:name="_Toc225932024"/>
      <w:bookmarkStart w:id="95" w:name="_Toc225932464"/>
      <w:bookmarkStart w:id="96" w:name="_Toc225932904"/>
      <w:bookmarkStart w:id="97" w:name="_Toc225933344"/>
      <w:bookmarkStart w:id="98" w:name="_Toc225948651"/>
      <w:bookmarkStart w:id="99" w:name="_Toc225949280"/>
      <w:bookmarkStart w:id="100" w:name="_Toc225963325"/>
      <w:bookmarkStart w:id="101" w:name="_Toc225929324"/>
      <w:bookmarkStart w:id="102" w:name="_Toc225929766"/>
      <w:bookmarkStart w:id="103" w:name="_Toc225930219"/>
      <w:bookmarkStart w:id="104" w:name="_Toc225930670"/>
      <w:bookmarkStart w:id="105" w:name="_Toc225931128"/>
      <w:bookmarkStart w:id="106" w:name="_Toc225931585"/>
      <w:bookmarkStart w:id="107" w:name="_Toc225932025"/>
      <w:bookmarkStart w:id="108" w:name="_Toc225932465"/>
      <w:bookmarkStart w:id="109" w:name="_Toc225932905"/>
      <w:bookmarkStart w:id="110" w:name="_Toc225933345"/>
      <w:bookmarkStart w:id="111" w:name="_Toc225948652"/>
      <w:bookmarkStart w:id="112" w:name="_Toc225949281"/>
      <w:bookmarkStart w:id="113" w:name="_Toc225963326"/>
      <w:bookmarkStart w:id="114" w:name="_Toc225929767"/>
      <w:bookmarkStart w:id="115" w:name="_Toc225930220"/>
      <w:bookmarkStart w:id="116" w:name="_Toc225930671"/>
      <w:bookmarkStart w:id="117" w:name="_Toc225931129"/>
      <w:bookmarkStart w:id="118" w:name="_Toc225931586"/>
      <w:bookmarkStart w:id="119" w:name="_Toc225932026"/>
      <w:bookmarkStart w:id="120" w:name="_Toc225932466"/>
      <w:bookmarkStart w:id="121" w:name="_Toc225932906"/>
      <w:bookmarkStart w:id="122" w:name="_Toc225933346"/>
      <w:bookmarkStart w:id="123" w:name="_Toc225948653"/>
      <w:bookmarkStart w:id="124" w:name="_Toc225949282"/>
      <w:bookmarkStart w:id="125" w:name="_Toc225963327"/>
      <w:bookmarkStart w:id="126" w:name="_Toc225110543"/>
      <w:bookmarkStart w:id="127" w:name="_Toc225110536"/>
      <w:bookmarkStart w:id="128" w:name="_Toc226533683"/>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sidRPr="004A7E5E">
        <w:t>Strengthening Union governance through a Medical Devices Coordination Office (MDCO)</w:t>
      </w:r>
      <w:bookmarkEnd w:id="126"/>
      <w:bookmarkEnd w:id="128"/>
    </w:p>
    <w:p w14:paraId="6F0FAA64" w14:textId="77777777" w:rsidR="004039DA" w:rsidRDefault="004039DA" w:rsidP="004039DA">
      <w:pPr>
        <w:spacing w:after="0"/>
        <w:rPr>
          <w:rStyle w:val="Accentuationintense"/>
        </w:rPr>
      </w:pPr>
    </w:p>
    <w:p w14:paraId="0BDFBF2A" w14:textId="4692212E" w:rsidR="004039DA" w:rsidRDefault="009530EC" w:rsidP="004039DA">
      <w:pPr>
        <w:spacing w:after="0"/>
        <w:rPr>
          <w:rStyle w:val="Accentuationintense"/>
        </w:rPr>
      </w:pPr>
      <w:r w:rsidRPr="009530EC">
        <w:rPr>
          <w:rStyle w:val="Accentuationintense"/>
        </w:rPr>
        <w:t>Purpose and scope</w:t>
      </w:r>
    </w:p>
    <w:p w14:paraId="48466C2E" w14:textId="3F3914CC" w:rsidR="00144309" w:rsidRPr="005165BA" w:rsidRDefault="00144309" w:rsidP="004039DA">
      <w:pPr>
        <w:spacing w:after="0"/>
        <w:rPr>
          <w:i/>
          <w:iCs w:val="0"/>
          <w:color w:val="4472C4" w:themeColor="accent1"/>
        </w:rPr>
      </w:pPr>
      <w:r>
        <w:rPr>
          <w:lang w:eastAsia="en-GB"/>
        </w:rPr>
        <w:t>Persistent structural inefficiencies in the implementation of the MDR and IVDR affect predictability, consistency, and timeliness of Union</w:t>
      </w:r>
      <w:r>
        <w:rPr>
          <w:rFonts w:ascii="Cambria Math" w:hAnsi="Cambria Math" w:cs="Cambria Math"/>
          <w:lang w:eastAsia="en-GB"/>
        </w:rPr>
        <w:t>‑</w:t>
      </w:r>
      <w:r>
        <w:rPr>
          <w:lang w:eastAsia="en-GB"/>
        </w:rPr>
        <w:t>level processes. To address these issues, Team</w:t>
      </w:r>
      <w:r>
        <w:rPr>
          <w:rFonts w:ascii="Cambria Math" w:hAnsi="Cambria Math" w:cs="Cambria Math"/>
          <w:lang w:eastAsia="en-GB"/>
        </w:rPr>
        <w:t>‑</w:t>
      </w:r>
      <w:r>
        <w:rPr>
          <w:lang w:eastAsia="en-GB"/>
        </w:rPr>
        <w:t xml:space="preserve">NB proposes the establishment of a </w:t>
      </w:r>
      <w:r w:rsidRPr="00F57F9C">
        <w:rPr>
          <w:b/>
          <w:bCs/>
          <w:lang w:eastAsia="en-GB"/>
        </w:rPr>
        <w:t>Medical Devices Coordination Office (MDCO)</w:t>
      </w:r>
      <w:r>
        <w:rPr>
          <w:lang w:eastAsia="en-GB"/>
        </w:rPr>
        <w:t>.</w:t>
      </w:r>
    </w:p>
    <w:p w14:paraId="24FC952B" w14:textId="77777777" w:rsidR="00491AD9" w:rsidRDefault="00491AD9" w:rsidP="004039DA">
      <w:pPr>
        <w:spacing w:after="0"/>
        <w:rPr>
          <w:lang w:eastAsia="en-GB"/>
        </w:rPr>
      </w:pPr>
    </w:p>
    <w:p w14:paraId="55642356" w14:textId="3D7D3F23" w:rsidR="000472C4" w:rsidRPr="004A7E5E" w:rsidRDefault="00144309" w:rsidP="004039DA">
      <w:pPr>
        <w:spacing w:after="0"/>
        <w:rPr>
          <w:lang w:eastAsia="en-GB"/>
        </w:rPr>
      </w:pPr>
      <w:r>
        <w:rPr>
          <w:lang w:eastAsia="en-GB"/>
        </w:rPr>
        <w:t>MDCO would consolidate and professionalise</w:t>
      </w:r>
      <w:r w:rsidRPr="00F57F9C">
        <w:rPr>
          <w:b/>
          <w:bCs/>
          <w:lang w:eastAsia="en-GB"/>
        </w:rPr>
        <w:t xml:space="preserve"> procedural, logistical, and operational activities </w:t>
      </w:r>
      <w:r>
        <w:rPr>
          <w:lang w:eastAsia="en-GB"/>
        </w:rPr>
        <w:t xml:space="preserve">that are currently distributed across multiple structures, including MDCG </w:t>
      </w:r>
      <w:r w:rsidR="00A050DB">
        <w:rPr>
          <w:lang w:eastAsia="en-GB"/>
        </w:rPr>
        <w:t xml:space="preserve">and its </w:t>
      </w:r>
      <w:r>
        <w:rPr>
          <w:lang w:eastAsia="en-GB"/>
        </w:rPr>
        <w:t>working groups, Commission services, EMA secretariats, and national authorities. MDCO would not assume regulatory decision</w:t>
      </w:r>
      <w:r>
        <w:rPr>
          <w:rFonts w:ascii="Cambria Math" w:hAnsi="Cambria Math" w:cs="Cambria Math"/>
          <w:lang w:eastAsia="en-GB"/>
        </w:rPr>
        <w:t>‑</w:t>
      </w:r>
      <w:r>
        <w:rPr>
          <w:lang w:eastAsia="en-GB"/>
        </w:rPr>
        <w:t>making, policy</w:t>
      </w:r>
      <w:r>
        <w:rPr>
          <w:rFonts w:ascii="Cambria Math" w:hAnsi="Cambria Math" w:cs="Cambria Math"/>
          <w:lang w:eastAsia="en-GB"/>
        </w:rPr>
        <w:t>‑</w:t>
      </w:r>
      <w:r>
        <w:rPr>
          <w:lang w:eastAsia="en-GB"/>
        </w:rPr>
        <w:t xml:space="preserve">setting, or scientific responsibilities. </w:t>
      </w:r>
    </w:p>
    <w:p w14:paraId="7DAC744D" w14:textId="05777E86" w:rsidR="000472C4" w:rsidRPr="004A7E5E" w:rsidRDefault="000472C4" w:rsidP="000472C4">
      <w:pPr>
        <w:spacing w:after="0" w:line="256" w:lineRule="auto"/>
        <w:jc w:val="center"/>
        <w:rPr>
          <w:rFonts w:eastAsia="Times New Roman" w:cs="Calibri"/>
          <w:iCs w:val="0"/>
          <w:kern w:val="2"/>
          <w:szCs w:val="22"/>
          <w:lang w:eastAsia="en-GB"/>
          <w14:ligatures w14:val="standardContextual"/>
        </w:rPr>
      </w:pPr>
    </w:p>
    <w:p w14:paraId="5BF6BAE9" w14:textId="543DA083" w:rsidR="000472C4" w:rsidRPr="0024535D" w:rsidRDefault="000472C4" w:rsidP="000472C4">
      <w:pPr>
        <w:spacing w:after="0" w:line="256" w:lineRule="auto"/>
        <w:rPr>
          <w:rStyle w:val="Accentuationintense"/>
        </w:rPr>
      </w:pPr>
      <w:r w:rsidRPr="0024535D">
        <w:rPr>
          <w:rStyle w:val="Accentuationintense"/>
        </w:rPr>
        <w:t>MDCO in the EU Governance Architecture</w:t>
      </w:r>
    </w:p>
    <w:p w14:paraId="236D701C" w14:textId="77777777" w:rsidR="000472C4" w:rsidRPr="004A7E5E" w:rsidRDefault="000472C4" w:rsidP="0024535D">
      <w:pPr>
        <w:rPr>
          <w:lang w:eastAsia="en-GB"/>
        </w:rPr>
      </w:pPr>
      <w:r w:rsidRPr="004A7E5E">
        <w:rPr>
          <w:lang w:eastAsia="en-GB"/>
        </w:rPr>
        <w:t xml:space="preserve">MDCO serves as the </w:t>
      </w:r>
      <w:r w:rsidRPr="004A7E5E">
        <w:rPr>
          <w:b/>
          <w:bCs/>
          <w:lang w:eastAsia="en-GB"/>
        </w:rPr>
        <w:t>administrative backbone</w:t>
      </w:r>
      <w:r w:rsidRPr="004A7E5E">
        <w:rPr>
          <w:lang w:eastAsia="en-GB"/>
        </w:rPr>
        <w:t xml:space="preserve"> of the EU medical device and IVD system. While MDCG retains strategic and policy</w:t>
      </w:r>
      <w:r w:rsidRPr="004A7E5E">
        <w:rPr>
          <w:lang w:eastAsia="en-GB"/>
        </w:rPr>
        <w:noBreakHyphen/>
        <w:t>setting functions, MDCO provides:</w:t>
      </w:r>
    </w:p>
    <w:p w14:paraId="3872B87D" w14:textId="77777777" w:rsidR="000472C4" w:rsidRPr="004A7E5E" w:rsidRDefault="000472C4" w:rsidP="00700B94">
      <w:pPr>
        <w:pStyle w:val="Paragraphedeliste"/>
        <w:numPr>
          <w:ilvl w:val="0"/>
          <w:numId w:val="6"/>
        </w:numPr>
        <w:rPr>
          <w:lang w:eastAsia="en-GB"/>
        </w:rPr>
      </w:pPr>
      <w:r w:rsidRPr="004A7E5E">
        <w:rPr>
          <w:lang w:eastAsia="en-GB"/>
        </w:rPr>
        <w:t>day</w:t>
      </w:r>
      <w:r w:rsidRPr="004A7E5E">
        <w:rPr>
          <w:lang w:eastAsia="en-GB"/>
        </w:rPr>
        <w:noBreakHyphen/>
        <w:t>to</w:t>
      </w:r>
      <w:r w:rsidRPr="004A7E5E">
        <w:rPr>
          <w:lang w:eastAsia="en-GB"/>
        </w:rPr>
        <w:noBreakHyphen/>
        <w:t>day coordination of regulatory workflows</w:t>
      </w:r>
    </w:p>
    <w:p w14:paraId="241C76D8" w14:textId="77777777" w:rsidR="000472C4" w:rsidRPr="004A7E5E" w:rsidRDefault="000472C4" w:rsidP="00700B94">
      <w:pPr>
        <w:pStyle w:val="Paragraphedeliste"/>
        <w:numPr>
          <w:ilvl w:val="0"/>
          <w:numId w:val="6"/>
        </w:numPr>
        <w:rPr>
          <w:lang w:eastAsia="en-GB"/>
        </w:rPr>
      </w:pPr>
      <w:r w:rsidRPr="004A7E5E">
        <w:rPr>
          <w:lang w:eastAsia="en-GB"/>
        </w:rPr>
        <w:t>structured procedural support for regulatory and scientific processes</w:t>
      </w:r>
    </w:p>
    <w:p w14:paraId="7307F15E" w14:textId="77777777" w:rsidR="000472C4" w:rsidRPr="004A7E5E" w:rsidRDefault="000472C4" w:rsidP="00700B94">
      <w:pPr>
        <w:pStyle w:val="Paragraphedeliste"/>
        <w:numPr>
          <w:ilvl w:val="0"/>
          <w:numId w:val="6"/>
        </w:numPr>
        <w:rPr>
          <w:lang w:eastAsia="en-GB"/>
        </w:rPr>
      </w:pPr>
      <w:r w:rsidRPr="004A7E5E">
        <w:rPr>
          <w:lang w:eastAsia="en-GB"/>
        </w:rPr>
        <w:t>management of timelines, documentation and workflows</w:t>
      </w:r>
    </w:p>
    <w:p w14:paraId="12C38622" w14:textId="77777777" w:rsidR="000472C4" w:rsidRPr="004A7E5E" w:rsidRDefault="000472C4" w:rsidP="00700B94">
      <w:pPr>
        <w:pStyle w:val="Paragraphedeliste"/>
        <w:numPr>
          <w:ilvl w:val="0"/>
          <w:numId w:val="6"/>
        </w:numPr>
        <w:rPr>
          <w:lang w:eastAsia="en-GB"/>
        </w:rPr>
      </w:pPr>
      <w:r w:rsidRPr="004A7E5E">
        <w:rPr>
          <w:lang w:eastAsia="en-GB"/>
        </w:rPr>
        <w:t>long</w:t>
      </w:r>
      <w:r w:rsidRPr="004A7E5E">
        <w:rPr>
          <w:lang w:eastAsia="en-GB"/>
        </w:rPr>
        <w:noBreakHyphen/>
        <w:t>term stable operational infrastructure</w:t>
      </w:r>
    </w:p>
    <w:p w14:paraId="71FD77E0" w14:textId="5E40AB6C" w:rsidR="000472C4" w:rsidRPr="004A7E5E" w:rsidRDefault="000472C4" w:rsidP="0024535D">
      <w:pPr>
        <w:rPr>
          <w:lang w:eastAsia="en-GB"/>
        </w:rPr>
      </w:pPr>
      <w:r w:rsidRPr="004A7E5E">
        <w:rPr>
          <w:lang w:eastAsia="en-GB"/>
        </w:rPr>
        <w:t>NBCG</w:t>
      </w:r>
      <w:r w:rsidRPr="004A7E5E">
        <w:rPr>
          <w:lang w:eastAsia="en-GB"/>
        </w:rPr>
        <w:noBreakHyphen/>
        <w:t>Med is integrated into the MDCG architecture. MDCO provides the operational framework enabling NBCG</w:t>
      </w:r>
      <w:r w:rsidRPr="004A7E5E">
        <w:rPr>
          <w:lang w:eastAsia="en-GB"/>
        </w:rPr>
        <w:noBreakHyphen/>
        <w:t>Med to function effectively, deliver harmonised technical coordination and report systematically into the MDCG structure.</w:t>
      </w:r>
      <w:r w:rsidR="008D5564">
        <w:rPr>
          <w:lang w:eastAsia="en-GB"/>
        </w:rPr>
        <w:t xml:space="preserve"> </w:t>
      </w:r>
      <w:r w:rsidR="00C07CC8">
        <w:rPr>
          <w:lang w:eastAsia="en-GB"/>
        </w:rPr>
        <w:br/>
      </w:r>
      <w:r w:rsidR="008D5564" w:rsidRPr="008D5564">
        <w:rPr>
          <w:lang w:eastAsia="en-GB"/>
        </w:rPr>
        <w:t xml:space="preserve">The idea </w:t>
      </w:r>
      <w:r w:rsidR="00C07CC8" w:rsidRPr="008D5564">
        <w:rPr>
          <w:lang w:eastAsia="en-GB"/>
        </w:rPr>
        <w:t>for</w:t>
      </w:r>
      <w:r w:rsidR="00C07CC8">
        <w:rPr>
          <w:lang w:eastAsia="en-GB"/>
        </w:rPr>
        <w:t xml:space="preserve"> </w:t>
      </w:r>
      <w:r w:rsidR="00C07CC8" w:rsidRPr="008D5564">
        <w:rPr>
          <w:lang w:eastAsia="en-GB"/>
        </w:rPr>
        <w:t>MDCO</w:t>
      </w:r>
      <w:r w:rsidR="008D5564" w:rsidRPr="008D5564">
        <w:rPr>
          <w:lang w:eastAsia="en-GB"/>
        </w:rPr>
        <w:t xml:space="preserve"> was inspired by the AI Act’s governance framework. In comparison, we noticed that the MDR/IVDR framework doesn’t include a body equivalent to the AI Office by means of role and centrally provided resources. A gap that the MDCO would close. </w:t>
      </w:r>
    </w:p>
    <w:p w14:paraId="1B4A1779" w14:textId="6EA8AC0F" w:rsidR="000472C4" w:rsidRPr="004A7E5E" w:rsidRDefault="00824E92" w:rsidP="00E244CF">
      <w:pPr>
        <w:spacing w:after="0"/>
        <w:rPr>
          <w:lang w:eastAsia="en-GB"/>
        </w:rPr>
      </w:pPr>
      <w:r w:rsidRPr="00824E92">
        <w:rPr>
          <w:rStyle w:val="Accentuationintense"/>
        </w:rPr>
        <w:t>Role allocation (applies throughout Sections 1</w:t>
      </w:r>
      <w:r w:rsidR="002B002F">
        <w:rPr>
          <w:rStyle w:val="Accentuationintense"/>
        </w:rPr>
        <w:t>.1</w:t>
      </w:r>
      <w:r w:rsidRPr="00824E92">
        <w:rPr>
          <w:rStyle w:val="Accentuationintense"/>
        </w:rPr>
        <w:t>–1.</w:t>
      </w:r>
      <w:r w:rsidR="002B002F">
        <w:rPr>
          <w:rStyle w:val="Accentuationintense"/>
        </w:rPr>
        <w:t>8</w:t>
      </w:r>
      <w:r w:rsidR="006F3FB9" w:rsidRPr="00824E92">
        <w:rPr>
          <w:rStyle w:val="Accentuationintense"/>
        </w:rPr>
        <w:t>):</w:t>
      </w:r>
    </w:p>
    <w:p w14:paraId="04733130" w14:textId="074C2C7D" w:rsidR="000472C4" w:rsidRPr="004A7E5E" w:rsidRDefault="000472C4" w:rsidP="00700B94">
      <w:pPr>
        <w:pStyle w:val="Paragraphedeliste"/>
        <w:numPr>
          <w:ilvl w:val="0"/>
          <w:numId w:val="7"/>
        </w:numPr>
        <w:spacing w:after="0"/>
        <w:rPr>
          <w:lang w:eastAsia="en-GB"/>
        </w:rPr>
      </w:pPr>
      <w:r w:rsidRPr="002F758A">
        <w:rPr>
          <w:b/>
          <w:bCs/>
          <w:lang w:eastAsia="en-GB"/>
        </w:rPr>
        <w:t>Member States and the Commission</w:t>
      </w:r>
      <w:r w:rsidRPr="004A7E5E">
        <w:rPr>
          <w:lang w:eastAsia="en-GB"/>
        </w:rPr>
        <w:t xml:space="preserve"> retain full </w:t>
      </w:r>
      <w:r w:rsidR="0051377F">
        <w:rPr>
          <w:lang w:eastAsia="en-GB"/>
        </w:rPr>
        <w:t xml:space="preserve">regulatory </w:t>
      </w:r>
      <w:r w:rsidR="0051377F" w:rsidRPr="0051377F">
        <w:rPr>
          <w:lang w:eastAsia="en-GB"/>
        </w:rPr>
        <w:t>authority and decision</w:t>
      </w:r>
      <w:r w:rsidR="0051377F" w:rsidRPr="0051377F">
        <w:rPr>
          <w:lang w:eastAsia="en-GB"/>
        </w:rPr>
        <w:noBreakHyphen/>
        <w:t>making responsibility.</w:t>
      </w:r>
    </w:p>
    <w:p w14:paraId="5232A2B4" w14:textId="77777777" w:rsidR="000472C4" w:rsidRPr="004A7E5E" w:rsidRDefault="000472C4" w:rsidP="00700B94">
      <w:pPr>
        <w:pStyle w:val="Paragraphedeliste"/>
        <w:numPr>
          <w:ilvl w:val="0"/>
          <w:numId w:val="7"/>
        </w:numPr>
        <w:spacing w:after="0"/>
        <w:rPr>
          <w:lang w:eastAsia="en-GB"/>
        </w:rPr>
      </w:pPr>
      <w:r w:rsidRPr="002F758A">
        <w:rPr>
          <w:b/>
          <w:bCs/>
          <w:lang w:eastAsia="en-GB"/>
        </w:rPr>
        <w:t>NBCG</w:t>
      </w:r>
      <w:r w:rsidRPr="002F758A">
        <w:rPr>
          <w:b/>
          <w:bCs/>
          <w:lang w:eastAsia="en-GB"/>
        </w:rPr>
        <w:noBreakHyphen/>
        <w:t>Med</w:t>
      </w:r>
      <w:r w:rsidRPr="004A7E5E">
        <w:rPr>
          <w:lang w:eastAsia="en-GB"/>
        </w:rPr>
        <w:t xml:space="preserve"> provides notified body coordination and harmonisation, supported operationally by MDCO.</w:t>
      </w:r>
    </w:p>
    <w:p w14:paraId="7B98A9EE" w14:textId="77777777" w:rsidR="000472C4" w:rsidRPr="004A7E5E" w:rsidRDefault="000472C4" w:rsidP="00700B94">
      <w:pPr>
        <w:pStyle w:val="Paragraphedeliste"/>
        <w:numPr>
          <w:ilvl w:val="0"/>
          <w:numId w:val="7"/>
        </w:numPr>
        <w:spacing w:after="0"/>
        <w:rPr>
          <w:lang w:eastAsia="en-GB"/>
        </w:rPr>
      </w:pPr>
      <w:r w:rsidRPr="002F758A">
        <w:rPr>
          <w:b/>
          <w:bCs/>
          <w:lang w:eastAsia="en-GB"/>
        </w:rPr>
        <w:t>EMA and Expert Panels</w:t>
      </w:r>
      <w:r w:rsidRPr="004A7E5E">
        <w:rPr>
          <w:lang w:eastAsia="en-GB"/>
        </w:rPr>
        <w:t xml:space="preserve"> retain all scientific, methodological and clinical responsibilities.</w:t>
      </w:r>
    </w:p>
    <w:p w14:paraId="2ABC07CC" w14:textId="77777777" w:rsidR="000472C4" w:rsidRPr="004A7E5E" w:rsidRDefault="000472C4" w:rsidP="00700B94">
      <w:pPr>
        <w:pStyle w:val="Paragraphedeliste"/>
        <w:numPr>
          <w:ilvl w:val="0"/>
          <w:numId w:val="7"/>
        </w:numPr>
        <w:spacing w:after="0"/>
        <w:rPr>
          <w:lang w:eastAsia="en-GB"/>
        </w:rPr>
      </w:pPr>
      <w:r w:rsidRPr="002F758A">
        <w:rPr>
          <w:b/>
          <w:bCs/>
          <w:lang w:eastAsia="en-GB"/>
        </w:rPr>
        <w:t>MDCO</w:t>
      </w:r>
      <w:r w:rsidRPr="004A7E5E">
        <w:rPr>
          <w:lang w:eastAsia="en-GB"/>
        </w:rPr>
        <w:t xml:space="preserve"> covers all non</w:t>
      </w:r>
      <w:r w:rsidRPr="004A7E5E">
        <w:rPr>
          <w:lang w:eastAsia="en-GB"/>
        </w:rPr>
        <w:noBreakHyphen/>
        <w:t>scientific operational tasks and ensures coherence across the system.</w:t>
      </w:r>
    </w:p>
    <w:p w14:paraId="3027B0B6" w14:textId="3C814886" w:rsidR="002F758A" w:rsidRPr="0024535D" w:rsidRDefault="000472C4" w:rsidP="00E244CF">
      <w:pPr>
        <w:spacing w:after="0"/>
        <w:rPr>
          <w:lang w:eastAsia="en-GB"/>
        </w:rPr>
      </w:pPr>
      <w:r w:rsidRPr="004A7E5E">
        <w:rPr>
          <w:lang w:eastAsia="en-GB"/>
        </w:rPr>
        <w:t xml:space="preserve">This reflects a stable structure based on </w:t>
      </w:r>
      <w:r w:rsidRPr="0024535D">
        <w:rPr>
          <w:b/>
          <w:bCs/>
          <w:lang w:eastAsia="en-GB"/>
        </w:rPr>
        <w:t>policy (MDCG) – science (Expert Panels &amp; EMA) – operations (MDCO)</w:t>
      </w:r>
      <w:r w:rsidRPr="004A7E5E">
        <w:rPr>
          <w:lang w:eastAsia="en-GB"/>
        </w:rPr>
        <w:t>.</w:t>
      </w:r>
    </w:p>
    <w:p w14:paraId="7B744868" w14:textId="4571040F" w:rsidR="000472C4" w:rsidRPr="004A7E5E" w:rsidRDefault="000472C4" w:rsidP="000472C4">
      <w:pPr>
        <w:spacing w:after="0" w:line="256" w:lineRule="auto"/>
        <w:jc w:val="center"/>
        <w:rPr>
          <w:rFonts w:eastAsia="Times New Roman" w:cs="Calibri"/>
          <w:iCs w:val="0"/>
          <w:kern w:val="2"/>
          <w:szCs w:val="22"/>
          <w:lang w:eastAsia="en-GB"/>
          <w14:ligatures w14:val="standardContextual"/>
        </w:rPr>
      </w:pPr>
    </w:p>
    <w:p w14:paraId="370AC927" w14:textId="1BB592C3" w:rsidR="000472C4" w:rsidRPr="0024535D" w:rsidRDefault="000472C4" w:rsidP="000472C4">
      <w:pPr>
        <w:spacing w:after="0" w:line="256" w:lineRule="auto"/>
        <w:rPr>
          <w:rStyle w:val="Accentuationintense"/>
        </w:rPr>
      </w:pPr>
      <w:r w:rsidRPr="0024535D">
        <w:rPr>
          <w:rStyle w:val="Accentuationintense"/>
        </w:rPr>
        <w:t>Integration of NBCG</w:t>
      </w:r>
      <w:r w:rsidRPr="0024535D">
        <w:rPr>
          <w:rStyle w:val="Accentuationintense"/>
        </w:rPr>
        <w:noBreakHyphen/>
        <w:t>Med Technical Secretariat Into MDCO</w:t>
      </w:r>
    </w:p>
    <w:p w14:paraId="33D3A207" w14:textId="77777777" w:rsidR="000472C4" w:rsidRPr="004A7E5E" w:rsidRDefault="000472C4" w:rsidP="0024535D">
      <w:pPr>
        <w:rPr>
          <w:lang w:eastAsia="en-GB"/>
        </w:rPr>
      </w:pPr>
      <w:r w:rsidRPr="004A7E5E">
        <w:rPr>
          <w:lang w:eastAsia="en-GB"/>
        </w:rPr>
        <w:lastRenderedPageBreak/>
        <w:t>Integrating the EU4Health</w:t>
      </w:r>
      <w:r w:rsidRPr="004A7E5E">
        <w:rPr>
          <w:lang w:eastAsia="en-GB"/>
        </w:rPr>
        <w:noBreakHyphen/>
        <w:t>funded NBCG</w:t>
      </w:r>
      <w:r w:rsidRPr="004A7E5E">
        <w:rPr>
          <w:lang w:eastAsia="en-GB"/>
        </w:rPr>
        <w:noBreakHyphen/>
        <w:t>Med technical secretariat into MDCO ensures a stable and coherent foundation for Union</w:t>
      </w:r>
      <w:r w:rsidRPr="004A7E5E">
        <w:rPr>
          <w:lang w:eastAsia="en-GB"/>
        </w:rPr>
        <w:noBreakHyphen/>
        <w:t>level NB coordination. MDCO supports NBCG</w:t>
      </w:r>
      <w:r w:rsidRPr="004A7E5E">
        <w:rPr>
          <w:lang w:eastAsia="en-GB"/>
        </w:rPr>
        <w:noBreakHyphen/>
        <w:t>Med by providing:</w:t>
      </w:r>
    </w:p>
    <w:p w14:paraId="58FBBD9C" w14:textId="77777777" w:rsidR="000472C4" w:rsidRPr="004A7E5E" w:rsidRDefault="000472C4" w:rsidP="00700B94">
      <w:pPr>
        <w:pStyle w:val="Paragraphedeliste"/>
        <w:numPr>
          <w:ilvl w:val="0"/>
          <w:numId w:val="8"/>
        </w:numPr>
        <w:rPr>
          <w:lang w:eastAsia="en-GB"/>
        </w:rPr>
      </w:pPr>
      <w:r w:rsidRPr="004A7E5E">
        <w:rPr>
          <w:lang w:eastAsia="en-GB"/>
        </w:rPr>
        <w:t>long</w:t>
      </w:r>
      <w:r w:rsidRPr="004A7E5E">
        <w:rPr>
          <w:lang w:eastAsia="en-GB"/>
        </w:rPr>
        <w:noBreakHyphen/>
        <w:t>term continuity for NB coordination</w:t>
      </w:r>
    </w:p>
    <w:p w14:paraId="4CA5E60F" w14:textId="77777777" w:rsidR="000472C4" w:rsidRPr="004A7E5E" w:rsidRDefault="000472C4" w:rsidP="00700B94">
      <w:pPr>
        <w:pStyle w:val="Paragraphedeliste"/>
        <w:numPr>
          <w:ilvl w:val="0"/>
          <w:numId w:val="8"/>
        </w:numPr>
        <w:rPr>
          <w:lang w:eastAsia="en-GB"/>
        </w:rPr>
      </w:pPr>
      <w:r w:rsidRPr="004A7E5E">
        <w:rPr>
          <w:lang w:eastAsia="en-GB"/>
        </w:rPr>
        <w:t>strengthened methodological alignment across NBs</w:t>
      </w:r>
    </w:p>
    <w:p w14:paraId="1377A5DE" w14:textId="77777777" w:rsidR="000472C4" w:rsidRPr="004A7E5E" w:rsidRDefault="000472C4" w:rsidP="00700B94">
      <w:pPr>
        <w:pStyle w:val="Paragraphedeliste"/>
        <w:numPr>
          <w:ilvl w:val="0"/>
          <w:numId w:val="8"/>
        </w:numPr>
        <w:rPr>
          <w:lang w:eastAsia="en-GB"/>
        </w:rPr>
      </w:pPr>
      <w:r w:rsidRPr="004A7E5E">
        <w:rPr>
          <w:lang w:eastAsia="en-GB"/>
        </w:rPr>
        <w:t>harmonised templates, procedures and workflows</w:t>
      </w:r>
    </w:p>
    <w:p w14:paraId="7022F602" w14:textId="77777777" w:rsidR="000472C4" w:rsidRPr="004A7E5E" w:rsidRDefault="000472C4" w:rsidP="00700B94">
      <w:pPr>
        <w:pStyle w:val="Paragraphedeliste"/>
        <w:numPr>
          <w:ilvl w:val="0"/>
          <w:numId w:val="8"/>
        </w:numPr>
        <w:rPr>
          <w:lang w:eastAsia="en-GB"/>
        </w:rPr>
      </w:pPr>
      <w:r w:rsidRPr="004A7E5E">
        <w:rPr>
          <w:lang w:eastAsia="en-GB"/>
        </w:rPr>
        <w:t>facilitation of cross</w:t>
      </w:r>
      <w:r w:rsidRPr="004A7E5E">
        <w:rPr>
          <w:lang w:eastAsia="en-GB"/>
        </w:rPr>
        <w:noBreakHyphen/>
        <w:t>NB exchange of best practices</w:t>
      </w:r>
    </w:p>
    <w:p w14:paraId="0844AC0E" w14:textId="77777777" w:rsidR="000472C4" w:rsidRPr="004A7E5E" w:rsidRDefault="000472C4" w:rsidP="00700B94">
      <w:pPr>
        <w:pStyle w:val="Paragraphedeliste"/>
        <w:numPr>
          <w:ilvl w:val="0"/>
          <w:numId w:val="8"/>
        </w:numPr>
        <w:rPr>
          <w:lang w:eastAsia="en-GB"/>
        </w:rPr>
      </w:pPr>
      <w:r w:rsidRPr="004A7E5E">
        <w:rPr>
          <w:lang w:eastAsia="en-GB"/>
        </w:rPr>
        <w:t>a coherent procedural interface between NBs and Expert Panels</w:t>
      </w:r>
    </w:p>
    <w:p w14:paraId="4D895C58" w14:textId="77777777" w:rsidR="000472C4" w:rsidRPr="004A7E5E" w:rsidRDefault="000472C4" w:rsidP="00700B94">
      <w:pPr>
        <w:pStyle w:val="Paragraphedeliste"/>
        <w:numPr>
          <w:ilvl w:val="0"/>
          <w:numId w:val="8"/>
        </w:numPr>
        <w:rPr>
          <w:lang w:eastAsia="en-GB"/>
        </w:rPr>
      </w:pPr>
      <w:r w:rsidRPr="004A7E5E">
        <w:rPr>
          <w:lang w:eastAsia="en-GB"/>
        </w:rPr>
        <w:t xml:space="preserve">integrated operational support for NB experts’ contributions to </w:t>
      </w:r>
    </w:p>
    <w:p w14:paraId="29A86BD8" w14:textId="77777777" w:rsidR="000472C4" w:rsidRPr="004A7E5E" w:rsidRDefault="000472C4" w:rsidP="00700B94">
      <w:pPr>
        <w:pStyle w:val="Paragraphedeliste"/>
        <w:numPr>
          <w:ilvl w:val="1"/>
          <w:numId w:val="8"/>
        </w:numPr>
        <w:rPr>
          <w:lang w:eastAsia="en-GB"/>
        </w:rPr>
      </w:pPr>
      <w:r w:rsidRPr="004A7E5E">
        <w:rPr>
          <w:lang w:eastAsia="en-GB"/>
        </w:rPr>
        <w:t>borderline and classification cases</w:t>
      </w:r>
    </w:p>
    <w:p w14:paraId="3D3E0912" w14:textId="1FCBF81E" w:rsidR="000472C4" w:rsidRPr="004A7E5E" w:rsidRDefault="000472C4" w:rsidP="00700B94">
      <w:pPr>
        <w:pStyle w:val="Paragraphedeliste"/>
        <w:numPr>
          <w:ilvl w:val="1"/>
          <w:numId w:val="8"/>
        </w:numPr>
        <w:rPr>
          <w:lang w:eastAsia="en-GB"/>
        </w:rPr>
      </w:pPr>
      <w:r w:rsidRPr="004A7E5E">
        <w:rPr>
          <w:lang w:eastAsia="en-GB"/>
        </w:rPr>
        <w:t xml:space="preserve">Breakthrough </w:t>
      </w:r>
      <w:r w:rsidR="007F5639">
        <w:rPr>
          <w:lang w:eastAsia="en-GB"/>
        </w:rPr>
        <w:t>(</w:t>
      </w:r>
      <w:proofErr w:type="spellStart"/>
      <w:r w:rsidR="007F5639">
        <w:rPr>
          <w:lang w:eastAsia="en-GB"/>
        </w:rPr>
        <w:t>BtX</w:t>
      </w:r>
      <w:proofErr w:type="spellEnd"/>
      <w:r w:rsidR="007F5639">
        <w:rPr>
          <w:lang w:eastAsia="en-GB"/>
        </w:rPr>
        <w:t>)</w:t>
      </w:r>
      <w:r w:rsidR="002109C7">
        <w:rPr>
          <w:lang w:eastAsia="en-GB"/>
        </w:rPr>
        <w:t xml:space="preserve"> </w:t>
      </w:r>
      <w:r w:rsidRPr="004A7E5E">
        <w:rPr>
          <w:lang w:eastAsia="en-GB"/>
        </w:rPr>
        <w:t>and Orphan processes</w:t>
      </w:r>
    </w:p>
    <w:p w14:paraId="0FEEDBF2" w14:textId="77777777" w:rsidR="000472C4" w:rsidRPr="004A7E5E" w:rsidRDefault="000472C4" w:rsidP="00700B94">
      <w:pPr>
        <w:pStyle w:val="Paragraphedeliste"/>
        <w:numPr>
          <w:ilvl w:val="1"/>
          <w:numId w:val="8"/>
        </w:numPr>
        <w:rPr>
          <w:lang w:eastAsia="en-GB"/>
        </w:rPr>
      </w:pPr>
      <w:r w:rsidRPr="004A7E5E">
        <w:rPr>
          <w:lang w:eastAsia="en-GB"/>
        </w:rPr>
        <w:t>scientific advice procedures</w:t>
      </w:r>
    </w:p>
    <w:p w14:paraId="597895AD" w14:textId="4079AC04" w:rsidR="000472C4" w:rsidRPr="004A7E5E" w:rsidRDefault="000472C4" w:rsidP="00700B94">
      <w:pPr>
        <w:numPr>
          <w:ilvl w:val="0"/>
          <w:numId w:val="3"/>
        </w:numPr>
        <w:spacing w:after="0" w:line="256" w:lineRule="auto"/>
        <w:rPr>
          <w:rFonts w:eastAsia="Times New Roman" w:cs="Calibri"/>
          <w:iCs w:val="0"/>
          <w:kern w:val="2"/>
          <w:szCs w:val="22"/>
          <w:lang w:eastAsia="en-GB"/>
          <w14:ligatures w14:val="standardContextual"/>
        </w:rPr>
      </w:pPr>
      <w:r w:rsidRPr="004A7E5E">
        <w:rPr>
          <w:rFonts w:eastAsia="Times New Roman" w:cs="Calibri"/>
          <w:iCs w:val="0"/>
          <w:kern w:val="2"/>
          <w:szCs w:val="22"/>
          <w:lang w:eastAsia="en-GB"/>
          <w14:ligatures w14:val="standardContextual"/>
        </w:rPr>
        <w:t>support for literature</w:t>
      </w:r>
      <w:r w:rsidRPr="004A7E5E">
        <w:rPr>
          <w:rFonts w:eastAsia="Times New Roman" w:cs="Calibri"/>
          <w:iCs w:val="0"/>
          <w:kern w:val="2"/>
          <w:szCs w:val="22"/>
          <w:lang w:eastAsia="en-GB"/>
          <w14:ligatures w14:val="standardContextual"/>
        </w:rPr>
        <w:noBreakHyphen/>
        <w:t xml:space="preserve">screening methodologies and tools as described in </w:t>
      </w:r>
      <w:r w:rsidRPr="004A7E5E">
        <w:rPr>
          <w:rFonts w:eastAsia="Times New Roman" w:cs="Calibri"/>
          <w:b/>
          <w:bCs/>
          <w:iCs w:val="0"/>
          <w:kern w:val="2"/>
          <w:szCs w:val="22"/>
          <w:lang w:eastAsia="en-GB"/>
          <w14:ligatures w14:val="standardContextual"/>
        </w:rPr>
        <w:t>section</w:t>
      </w:r>
      <w:r w:rsidRPr="004A7E5E">
        <w:rPr>
          <w:rFonts w:ascii="Arial" w:eastAsia="Times New Roman" w:hAnsi="Arial" w:cs="Arial"/>
          <w:b/>
          <w:bCs/>
          <w:iCs w:val="0"/>
          <w:kern w:val="2"/>
          <w:szCs w:val="22"/>
          <w:lang w:eastAsia="en-GB"/>
          <w14:ligatures w14:val="standardContextual"/>
        </w:rPr>
        <w:t> </w:t>
      </w:r>
      <w:r w:rsidRPr="004A7E5E">
        <w:rPr>
          <w:rFonts w:eastAsia="Times New Roman" w:cs="Calibri"/>
          <w:b/>
          <w:bCs/>
          <w:iCs w:val="0"/>
          <w:kern w:val="2"/>
          <w:szCs w:val="22"/>
          <w:lang w:eastAsia="en-GB"/>
          <w14:ligatures w14:val="standardContextual"/>
        </w:rPr>
        <w:t>1.</w:t>
      </w:r>
      <w:r w:rsidR="00C804F6">
        <w:rPr>
          <w:rFonts w:eastAsia="Times New Roman" w:cs="Calibri"/>
          <w:b/>
          <w:bCs/>
          <w:iCs w:val="0"/>
          <w:kern w:val="2"/>
          <w:szCs w:val="22"/>
          <w:lang w:eastAsia="en-GB"/>
          <w14:ligatures w14:val="standardContextual"/>
        </w:rPr>
        <w:t>7</w:t>
      </w:r>
    </w:p>
    <w:p w14:paraId="0212E19F" w14:textId="77777777" w:rsidR="000472C4" w:rsidRPr="004A7E5E" w:rsidRDefault="000472C4" w:rsidP="0024535D">
      <w:pPr>
        <w:rPr>
          <w:lang w:eastAsia="en-GB"/>
        </w:rPr>
      </w:pPr>
      <w:r w:rsidRPr="004A7E5E">
        <w:rPr>
          <w:lang w:eastAsia="en-GB"/>
        </w:rPr>
        <w:t>Structured, non</w:t>
      </w:r>
      <w:r w:rsidRPr="004A7E5E">
        <w:rPr>
          <w:lang w:eastAsia="en-GB"/>
        </w:rPr>
        <w:noBreakHyphen/>
        <w:t>scientific support enables NBCG</w:t>
      </w:r>
      <w:r w:rsidRPr="004A7E5E">
        <w:rPr>
          <w:lang w:eastAsia="en-GB"/>
        </w:rPr>
        <w:noBreakHyphen/>
        <w:t xml:space="preserve">Med to fulfil its role in the MDCG-ecosystem. </w:t>
      </w:r>
    </w:p>
    <w:p w14:paraId="162AC776" w14:textId="40ACC302" w:rsidR="002F758A" w:rsidRPr="004A7E5E" w:rsidRDefault="000472C4" w:rsidP="0024535D">
      <w:pPr>
        <w:rPr>
          <w:lang w:eastAsia="en-GB"/>
        </w:rPr>
      </w:pPr>
      <w:r w:rsidRPr="004A7E5E">
        <w:rPr>
          <w:lang w:eastAsia="en-GB"/>
        </w:rPr>
        <w:t>All assessment of evidence and conformity</w:t>
      </w:r>
      <w:r w:rsidRPr="004A7E5E">
        <w:rPr>
          <w:lang w:eastAsia="en-GB"/>
        </w:rPr>
        <w:noBreakHyphen/>
        <w:t>assessment judgements remain exclusively with NBs.</w:t>
      </w:r>
    </w:p>
    <w:p w14:paraId="5077F89E" w14:textId="1A73919F" w:rsidR="000472C4" w:rsidRPr="004A7E5E" w:rsidRDefault="000472C4" w:rsidP="000472C4">
      <w:pPr>
        <w:spacing w:after="0" w:line="256" w:lineRule="auto"/>
        <w:jc w:val="center"/>
        <w:rPr>
          <w:rFonts w:eastAsia="Times New Roman" w:cs="Calibri"/>
          <w:iCs w:val="0"/>
          <w:kern w:val="2"/>
          <w:szCs w:val="22"/>
          <w:lang w:eastAsia="en-GB"/>
          <w14:ligatures w14:val="standardContextual"/>
        </w:rPr>
      </w:pPr>
    </w:p>
    <w:p w14:paraId="258998CC" w14:textId="5EA62F5E" w:rsidR="000472C4" w:rsidRPr="0024535D" w:rsidRDefault="000472C4" w:rsidP="000472C4">
      <w:pPr>
        <w:spacing w:after="0" w:line="256" w:lineRule="auto"/>
        <w:rPr>
          <w:rStyle w:val="Accentuationintense"/>
        </w:rPr>
      </w:pPr>
      <w:r w:rsidRPr="0024535D">
        <w:rPr>
          <w:rStyle w:val="Accentuationintense"/>
        </w:rPr>
        <w:t>A Coherent Procedural Interface Between NBs and Expert Panels</w:t>
      </w:r>
    </w:p>
    <w:p w14:paraId="2AB783F5" w14:textId="77777777" w:rsidR="000472C4" w:rsidRPr="004A7E5E" w:rsidRDefault="000472C4" w:rsidP="0024535D">
      <w:pPr>
        <w:rPr>
          <w:lang w:eastAsia="en-GB"/>
        </w:rPr>
      </w:pPr>
      <w:r w:rsidRPr="004A7E5E">
        <w:rPr>
          <w:lang w:eastAsia="en-GB"/>
        </w:rPr>
        <w:t>To ensure transparency, proportionality and consistency in Union</w:t>
      </w:r>
      <w:r w:rsidRPr="004A7E5E">
        <w:rPr>
          <w:lang w:eastAsia="en-GB"/>
        </w:rPr>
        <w:noBreakHyphen/>
        <w:t xml:space="preserve">level regulatory processes, MDCO would establish and maintain a </w:t>
      </w:r>
      <w:r w:rsidRPr="004A7E5E">
        <w:rPr>
          <w:b/>
          <w:bCs/>
          <w:lang w:eastAsia="en-GB"/>
        </w:rPr>
        <w:t>coherent procedural interface</w:t>
      </w:r>
      <w:r w:rsidRPr="004A7E5E">
        <w:rPr>
          <w:lang w:eastAsia="en-GB"/>
        </w:rPr>
        <w:t xml:space="preserve"> between NBs and Expert Panels. This would include:</w:t>
      </w:r>
    </w:p>
    <w:p w14:paraId="5D4E0A2B" w14:textId="77777777" w:rsidR="000472C4" w:rsidRPr="004A7E5E" w:rsidRDefault="000472C4" w:rsidP="00700B94">
      <w:pPr>
        <w:pStyle w:val="Paragraphedeliste"/>
        <w:numPr>
          <w:ilvl w:val="0"/>
          <w:numId w:val="3"/>
        </w:numPr>
        <w:rPr>
          <w:lang w:eastAsia="en-GB"/>
        </w:rPr>
      </w:pPr>
      <w:r w:rsidRPr="004A7E5E">
        <w:rPr>
          <w:lang w:eastAsia="en-GB"/>
        </w:rPr>
        <w:t xml:space="preserve">secure and structured channels for exchange between notified body experts and Expert Panels in borderline/classification, </w:t>
      </w:r>
      <w:proofErr w:type="spellStart"/>
      <w:r w:rsidRPr="004A7E5E">
        <w:rPr>
          <w:lang w:eastAsia="en-GB"/>
        </w:rPr>
        <w:t>BtX</w:t>
      </w:r>
      <w:proofErr w:type="spellEnd"/>
      <w:r w:rsidRPr="004A7E5E">
        <w:rPr>
          <w:lang w:eastAsia="en-GB"/>
        </w:rPr>
        <w:t>/Orphan and scientific advice workflows</w:t>
      </w:r>
    </w:p>
    <w:p w14:paraId="15E90E5B" w14:textId="77777777" w:rsidR="000472C4" w:rsidRPr="004A7E5E" w:rsidRDefault="000472C4" w:rsidP="00700B94">
      <w:pPr>
        <w:pStyle w:val="Paragraphedeliste"/>
        <w:numPr>
          <w:ilvl w:val="0"/>
          <w:numId w:val="3"/>
        </w:numPr>
        <w:rPr>
          <w:lang w:eastAsia="en-GB"/>
        </w:rPr>
      </w:pPr>
      <w:r w:rsidRPr="004A7E5E">
        <w:rPr>
          <w:lang w:eastAsia="en-GB"/>
        </w:rPr>
        <w:t>a pre</w:t>
      </w:r>
      <w:r w:rsidRPr="004A7E5E">
        <w:rPr>
          <w:lang w:eastAsia="en-GB"/>
        </w:rPr>
        <w:noBreakHyphen/>
        <w:t>opinion procedural dialogue mechanism for CECP (Clinical Evaluation Consultation Procedure) enabling mutual clarification in complex cases</w:t>
      </w:r>
    </w:p>
    <w:p w14:paraId="28D880C4" w14:textId="77777777" w:rsidR="000472C4" w:rsidRPr="004A7E5E" w:rsidRDefault="000472C4" w:rsidP="00700B94">
      <w:pPr>
        <w:pStyle w:val="Paragraphedeliste"/>
        <w:numPr>
          <w:ilvl w:val="0"/>
          <w:numId w:val="3"/>
        </w:numPr>
        <w:rPr>
          <w:lang w:eastAsia="en-GB"/>
        </w:rPr>
      </w:pPr>
      <w:r w:rsidRPr="004A7E5E">
        <w:rPr>
          <w:lang w:eastAsia="en-GB"/>
        </w:rPr>
        <w:t>supporting structured follow</w:t>
      </w:r>
      <w:r w:rsidRPr="004A7E5E">
        <w:rPr>
          <w:lang w:eastAsia="en-GB"/>
        </w:rPr>
        <w:noBreakHyphen/>
        <w:t>up on Expert Panel opinions in CECP (excluding any scientific involvement)</w:t>
      </w:r>
    </w:p>
    <w:p w14:paraId="14D0B287" w14:textId="77777777" w:rsidR="000472C4" w:rsidRPr="004A7E5E" w:rsidRDefault="000472C4" w:rsidP="00700B94">
      <w:pPr>
        <w:pStyle w:val="Paragraphedeliste"/>
        <w:numPr>
          <w:ilvl w:val="0"/>
          <w:numId w:val="3"/>
        </w:numPr>
        <w:rPr>
          <w:lang w:eastAsia="en-GB"/>
        </w:rPr>
      </w:pPr>
      <w:r w:rsidRPr="004A7E5E">
        <w:rPr>
          <w:lang w:eastAsia="en-GB"/>
        </w:rPr>
        <w:t>alignment of timelines and document formats to avoid procedural bottlenecks</w:t>
      </w:r>
    </w:p>
    <w:p w14:paraId="255D97EC" w14:textId="6EC6C781" w:rsidR="000472C4" w:rsidRPr="004A7E5E" w:rsidRDefault="000472C4" w:rsidP="00700B94">
      <w:pPr>
        <w:pStyle w:val="Paragraphedeliste"/>
        <w:numPr>
          <w:ilvl w:val="0"/>
          <w:numId w:val="3"/>
        </w:numPr>
        <w:rPr>
          <w:lang w:eastAsia="en-GB"/>
        </w:rPr>
      </w:pPr>
      <w:r w:rsidRPr="004A7E5E">
        <w:rPr>
          <w:lang w:eastAsia="en-GB"/>
        </w:rPr>
        <w:t>routing NB questions to Expert Panels on the regulatory status of a product (MDR art 4a (1)</w:t>
      </w:r>
      <w:r w:rsidR="00434440">
        <w:rPr>
          <w:lang w:eastAsia="en-GB"/>
        </w:rPr>
        <w:t>)</w:t>
      </w:r>
    </w:p>
    <w:p w14:paraId="1299F907" w14:textId="77777777" w:rsidR="000472C4" w:rsidRPr="004A7E5E" w:rsidRDefault="000472C4" w:rsidP="00700B94">
      <w:pPr>
        <w:pStyle w:val="Paragraphedeliste"/>
        <w:numPr>
          <w:ilvl w:val="0"/>
          <w:numId w:val="3"/>
        </w:numPr>
        <w:rPr>
          <w:lang w:eastAsia="en-GB"/>
        </w:rPr>
      </w:pPr>
      <w:r w:rsidRPr="004A7E5E">
        <w:rPr>
          <w:lang w:eastAsia="en-GB"/>
        </w:rPr>
        <w:t>ensuring independence safeguards and conflict</w:t>
      </w:r>
      <w:r w:rsidRPr="004A7E5E">
        <w:rPr>
          <w:lang w:eastAsia="en-GB"/>
        </w:rPr>
        <w:noBreakHyphen/>
        <w:t>of</w:t>
      </w:r>
      <w:r w:rsidRPr="004A7E5E">
        <w:rPr>
          <w:lang w:eastAsia="en-GB"/>
        </w:rPr>
        <w:noBreakHyphen/>
        <w:t>interest rules while enabling efficient cooperation</w:t>
      </w:r>
    </w:p>
    <w:p w14:paraId="37F32F2D" w14:textId="6D076085" w:rsidR="000472C4" w:rsidRPr="004A7E5E" w:rsidRDefault="000472C4" w:rsidP="0024535D">
      <w:pPr>
        <w:rPr>
          <w:lang w:eastAsia="en-GB"/>
        </w:rPr>
      </w:pPr>
      <w:r w:rsidRPr="004A7E5E">
        <w:rPr>
          <w:lang w:eastAsia="en-GB"/>
        </w:rPr>
        <w:t>Scientific positions remain under the exclusive responsibility of the Expert Panels</w:t>
      </w:r>
      <w:r w:rsidR="000B75C1">
        <w:rPr>
          <w:lang w:eastAsia="en-GB"/>
        </w:rPr>
        <w:t>, supported by EMA</w:t>
      </w:r>
      <w:r w:rsidRPr="004A7E5E">
        <w:rPr>
          <w:lang w:eastAsia="en-GB"/>
        </w:rPr>
        <w:t>.</w:t>
      </w:r>
    </w:p>
    <w:p w14:paraId="60349B54" w14:textId="05ABEF8A" w:rsidR="000472C4" w:rsidRPr="004A7E5E" w:rsidRDefault="000472C4" w:rsidP="000472C4">
      <w:pPr>
        <w:spacing w:after="0" w:line="256" w:lineRule="auto"/>
        <w:jc w:val="center"/>
        <w:rPr>
          <w:rFonts w:eastAsia="Times New Roman" w:cs="Calibri"/>
          <w:iCs w:val="0"/>
          <w:kern w:val="2"/>
          <w:szCs w:val="22"/>
          <w:lang w:eastAsia="en-GB"/>
          <w14:ligatures w14:val="standardContextual"/>
        </w:rPr>
      </w:pPr>
    </w:p>
    <w:p w14:paraId="2A7AD69B" w14:textId="22A1239A" w:rsidR="000472C4" w:rsidRPr="0024535D" w:rsidRDefault="000472C4" w:rsidP="000472C4">
      <w:pPr>
        <w:spacing w:after="0" w:line="256" w:lineRule="auto"/>
        <w:rPr>
          <w:rStyle w:val="Accentuationintense"/>
        </w:rPr>
      </w:pPr>
      <w:r w:rsidRPr="0024535D">
        <w:rPr>
          <w:rStyle w:val="Accentuationintense"/>
        </w:rPr>
        <w:t>MDCO Support for other Union</w:t>
      </w:r>
      <w:r w:rsidRPr="0024535D">
        <w:rPr>
          <w:rStyle w:val="Accentuationintense"/>
        </w:rPr>
        <w:noBreakHyphen/>
        <w:t>level operational tasks that fall outside the remit of notified bodies</w:t>
      </w:r>
    </w:p>
    <w:p w14:paraId="0AEB2A47" w14:textId="77777777" w:rsidR="00962912" w:rsidRDefault="000472C4" w:rsidP="00962912">
      <w:pPr>
        <w:spacing w:after="0"/>
        <w:rPr>
          <w:lang w:eastAsia="en-GB"/>
        </w:rPr>
      </w:pPr>
      <w:r w:rsidRPr="004A7E5E">
        <w:rPr>
          <w:lang w:eastAsia="en-GB"/>
        </w:rPr>
        <w:t>These activities reflect potential improvements to EU</w:t>
      </w:r>
      <w:r w:rsidRPr="004A7E5E">
        <w:rPr>
          <w:lang w:eastAsia="en-GB"/>
        </w:rPr>
        <w:noBreakHyphen/>
        <w:t>level procedural efficiency</w:t>
      </w:r>
      <w:r w:rsidR="00962912">
        <w:rPr>
          <w:lang w:eastAsia="en-GB"/>
        </w:rPr>
        <w:t>.</w:t>
      </w:r>
    </w:p>
    <w:p w14:paraId="4587CB2E" w14:textId="37115E4F" w:rsidR="000472C4" w:rsidRPr="004A7E5E" w:rsidRDefault="00962912" w:rsidP="00962912">
      <w:pPr>
        <w:spacing w:after="0"/>
        <w:rPr>
          <w:lang w:eastAsia="en-GB"/>
        </w:rPr>
      </w:pPr>
      <w:r>
        <w:rPr>
          <w:lang w:eastAsia="en-GB"/>
        </w:rPr>
        <w:t xml:space="preserve">Note: </w:t>
      </w:r>
      <w:r w:rsidR="000472C4" w:rsidRPr="004A7E5E">
        <w:rPr>
          <w:lang w:eastAsia="en-GB"/>
        </w:rPr>
        <w:t xml:space="preserve"> </w:t>
      </w:r>
      <w:r>
        <w:rPr>
          <w:lang w:eastAsia="en-GB"/>
        </w:rPr>
        <w:t>these</w:t>
      </w:r>
      <w:r w:rsidR="000472C4" w:rsidRPr="004A7E5E">
        <w:rPr>
          <w:lang w:eastAsia="en-GB"/>
        </w:rPr>
        <w:t xml:space="preserve"> </w:t>
      </w:r>
      <w:r w:rsidR="000472C4" w:rsidRPr="004A7E5E">
        <w:rPr>
          <w:b/>
          <w:bCs/>
          <w:lang w:eastAsia="en-GB"/>
        </w:rPr>
        <w:t>are suggestions only</w:t>
      </w:r>
      <w:r w:rsidR="000472C4" w:rsidRPr="004A7E5E">
        <w:rPr>
          <w:lang w:eastAsia="en-GB"/>
        </w:rPr>
        <w:t xml:space="preserve">, </w:t>
      </w:r>
      <w:r>
        <w:rPr>
          <w:lang w:eastAsia="en-GB"/>
        </w:rPr>
        <w:t xml:space="preserve">as </w:t>
      </w:r>
      <w:r w:rsidR="00565074" w:rsidRPr="004A7E5E">
        <w:rPr>
          <w:lang w:eastAsia="en-GB"/>
        </w:rPr>
        <w:t xml:space="preserve">defining </w:t>
      </w:r>
      <w:r w:rsidR="00E95C70">
        <w:rPr>
          <w:lang w:eastAsia="en-GB"/>
        </w:rPr>
        <w:t xml:space="preserve">MDCG, </w:t>
      </w:r>
      <w:r w:rsidR="00565074" w:rsidRPr="004A7E5E">
        <w:rPr>
          <w:lang w:eastAsia="en-GB"/>
        </w:rPr>
        <w:t>Member State or sandbox support is not within the remit of notified bodies.</w:t>
      </w:r>
    </w:p>
    <w:p w14:paraId="28A8002B" w14:textId="33328593" w:rsidR="005D10D2" w:rsidRDefault="005D10D2" w:rsidP="00B72915">
      <w:pPr>
        <w:pStyle w:val="Paragraphedeliste"/>
        <w:numPr>
          <w:ilvl w:val="0"/>
          <w:numId w:val="4"/>
        </w:numPr>
        <w:rPr>
          <w:lang w:eastAsia="en-GB"/>
        </w:rPr>
      </w:pPr>
      <w:r>
        <w:rPr>
          <w:b/>
          <w:bCs/>
          <w:lang w:eastAsia="en-GB"/>
        </w:rPr>
        <w:t xml:space="preserve">Procedural and logistic support to MDCG and its subgroups, </w:t>
      </w:r>
      <w:r>
        <w:rPr>
          <w:lang w:eastAsia="en-GB"/>
        </w:rPr>
        <w:t>including organisation of meetings, agenda preparation, document management, minutes and follow</w:t>
      </w:r>
      <w:r w:rsidRPr="005D10D2">
        <w:rPr>
          <w:rFonts w:ascii="Cambria Math" w:hAnsi="Cambria Math" w:cs="Cambria Math"/>
          <w:lang w:eastAsia="en-GB"/>
        </w:rPr>
        <w:t>‑</w:t>
      </w:r>
      <w:r>
        <w:rPr>
          <w:lang w:eastAsia="en-GB"/>
        </w:rPr>
        <w:t>up actions, coordination of timelines, and maintenance of shared working platforms.</w:t>
      </w:r>
    </w:p>
    <w:p w14:paraId="0428215A" w14:textId="501B4BAF" w:rsidR="005D10D2" w:rsidRPr="00B72915" w:rsidRDefault="005D10D2" w:rsidP="00B72915">
      <w:pPr>
        <w:pStyle w:val="Paragraphedeliste"/>
        <w:rPr>
          <w:lang w:eastAsia="en-GB"/>
        </w:rPr>
      </w:pPr>
      <w:r>
        <w:rPr>
          <w:lang w:eastAsia="en-GB"/>
        </w:rPr>
        <w:lastRenderedPageBreak/>
        <w:t>This support should ensure continuity, transparency and efficiency of MDCG activities, without interfering with policy</w:t>
      </w:r>
      <w:r>
        <w:rPr>
          <w:rFonts w:ascii="Cambria Math" w:hAnsi="Cambria Math" w:cs="Cambria Math"/>
          <w:lang w:eastAsia="en-GB"/>
        </w:rPr>
        <w:t>‑</w:t>
      </w:r>
      <w:r>
        <w:rPr>
          <w:lang w:eastAsia="en-GB"/>
        </w:rPr>
        <w:t>setting, regulatory decision</w:t>
      </w:r>
      <w:r>
        <w:rPr>
          <w:rFonts w:ascii="Cambria Math" w:hAnsi="Cambria Math" w:cs="Cambria Math"/>
          <w:lang w:eastAsia="en-GB"/>
        </w:rPr>
        <w:t>‑</w:t>
      </w:r>
      <w:r>
        <w:rPr>
          <w:lang w:eastAsia="en-GB"/>
        </w:rPr>
        <w:t>making or the substantive content of discussions.</w:t>
      </w:r>
    </w:p>
    <w:p w14:paraId="058A7982" w14:textId="04A71BF1" w:rsidR="000472C4" w:rsidRPr="004A7E5E" w:rsidRDefault="00167A93" w:rsidP="00700B94">
      <w:pPr>
        <w:pStyle w:val="Paragraphedeliste"/>
        <w:numPr>
          <w:ilvl w:val="0"/>
          <w:numId w:val="4"/>
        </w:numPr>
        <w:rPr>
          <w:lang w:eastAsia="en-GB"/>
        </w:rPr>
      </w:pPr>
      <w:r>
        <w:rPr>
          <w:b/>
          <w:bCs/>
          <w:lang w:eastAsia="en-GB"/>
        </w:rPr>
        <w:t>P</w:t>
      </w:r>
      <w:r w:rsidR="000472C4" w:rsidRPr="002F758A">
        <w:rPr>
          <w:b/>
          <w:bCs/>
          <w:lang w:eastAsia="en-GB"/>
        </w:rPr>
        <w:t>rocedural support for NB designation, joint assessments and monitoring</w:t>
      </w:r>
      <w:r w:rsidR="000472C4" w:rsidRPr="004A7E5E">
        <w:rPr>
          <w:lang w:eastAsia="en-GB"/>
        </w:rPr>
        <w:t>, including organisation of Joint Assessment Teams, coordination of expert availability, management of assessment documentation, consistent use of templates, support for remote or hybrid assessments, maintenance of NB information (scope, performance history, monitoring status), and tools for sampling, case selection and risk</w:t>
      </w:r>
      <w:r w:rsidR="000472C4" w:rsidRPr="004A7E5E">
        <w:rPr>
          <w:lang w:eastAsia="en-GB"/>
        </w:rPr>
        <w:noBreakHyphen/>
        <w:t xml:space="preserve">based monitoring </w:t>
      </w:r>
      <w:r w:rsidR="000472C4" w:rsidRPr="004A7E5E">
        <w:rPr>
          <w:lang w:eastAsia="en-GB"/>
        </w:rPr>
        <w:br/>
        <w:t>Relevant MDR/IVDR provisions: MDR: Art.</w:t>
      </w:r>
      <w:r w:rsidR="000472C4" w:rsidRPr="002F758A">
        <w:rPr>
          <w:rFonts w:ascii="Arial" w:hAnsi="Arial" w:cs="Arial"/>
          <w:lang w:eastAsia="en-GB"/>
        </w:rPr>
        <w:t> </w:t>
      </w:r>
      <w:r w:rsidR="000472C4" w:rsidRPr="004A7E5E">
        <w:rPr>
          <w:lang w:eastAsia="en-GB"/>
        </w:rPr>
        <w:t>38</w:t>
      </w:r>
      <w:r w:rsidR="000472C4" w:rsidRPr="002F758A">
        <w:rPr>
          <w:rFonts w:cs="Aptos"/>
          <w:lang w:eastAsia="en-GB"/>
        </w:rPr>
        <w:t>–</w:t>
      </w:r>
      <w:r w:rsidR="000472C4" w:rsidRPr="004A7E5E">
        <w:rPr>
          <w:lang w:eastAsia="en-GB"/>
        </w:rPr>
        <w:t>44 (designation, JATs, monitoring), Annex</w:t>
      </w:r>
      <w:r w:rsidR="000472C4" w:rsidRPr="002F758A">
        <w:rPr>
          <w:rFonts w:ascii="Arial" w:hAnsi="Arial" w:cs="Arial"/>
          <w:lang w:eastAsia="en-GB"/>
        </w:rPr>
        <w:t> </w:t>
      </w:r>
      <w:r w:rsidR="000472C4" w:rsidRPr="004A7E5E">
        <w:rPr>
          <w:lang w:eastAsia="en-GB"/>
        </w:rPr>
        <w:t>VII; IVDR: Art.</w:t>
      </w:r>
      <w:r w:rsidR="000472C4" w:rsidRPr="002F758A">
        <w:rPr>
          <w:rFonts w:ascii="Arial" w:hAnsi="Arial" w:cs="Arial"/>
          <w:lang w:eastAsia="en-GB"/>
        </w:rPr>
        <w:t> </w:t>
      </w:r>
      <w:r w:rsidR="000472C4" w:rsidRPr="004A7E5E">
        <w:rPr>
          <w:lang w:eastAsia="en-GB"/>
        </w:rPr>
        <w:t>31 (designation, monitoring), Annex</w:t>
      </w:r>
      <w:r w:rsidR="000472C4" w:rsidRPr="002F758A">
        <w:rPr>
          <w:rFonts w:ascii="Arial" w:hAnsi="Arial" w:cs="Arial"/>
          <w:lang w:eastAsia="en-GB"/>
        </w:rPr>
        <w:t> </w:t>
      </w:r>
      <w:r w:rsidR="000472C4" w:rsidRPr="004A7E5E">
        <w:rPr>
          <w:lang w:eastAsia="en-GB"/>
        </w:rPr>
        <w:t>VII)</w:t>
      </w:r>
    </w:p>
    <w:p w14:paraId="2C6422E1" w14:textId="77777777" w:rsidR="000472C4" w:rsidRPr="004A7E5E" w:rsidRDefault="000472C4" w:rsidP="00700B94">
      <w:pPr>
        <w:pStyle w:val="Paragraphedeliste"/>
        <w:numPr>
          <w:ilvl w:val="0"/>
          <w:numId w:val="4"/>
        </w:numPr>
        <w:rPr>
          <w:rFonts w:eastAsia="Times New Roman" w:cs="Calibri"/>
          <w:kern w:val="2"/>
          <w:szCs w:val="22"/>
          <w:lang w:val="fr-BE" w:eastAsia="en-GB"/>
          <w14:ligatures w14:val="standardContextual"/>
        </w:rPr>
      </w:pPr>
      <w:r w:rsidRPr="004A7E5E">
        <w:rPr>
          <w:rFonts w:eastAsia="Times New Roman" w:cs="Calibri"/>
          <w:b/>
          <w:szCs w:val="22"/>
          <w:lang w:eastAsia="en-GB"/>
        </w:rPr>
        <w:t>Procedural support for Member State and Commission derogation mechanisms</w:t>
      </w:r>
      <w:r w:rsidRPr="004A7E5E">
        <w:rPr>
          <w:rFonts w:eastAsia="Times New Roman" w:cs="Calibri"/>
          <w:kern w:val="2"/>
          <w:szCs w:val="22"/>
          <w:lang w:eastAsia="en-GB"/>
          <w14:ligatures w14:val="standardContextual"/>
        </w:rPr>
        <w:br/>
      </w:r>
      <w:r w:rsidRPr="004A7E5E">
        <w:rPr>
          <w:rFonts w:eastAsia="Times New Roman" w:cs="Calibri"/>
          <w:szCs w:val="22"/>
          <w:lang w:eastAsia="en-GB"/>
        </w:rPr>
        <w:t>supporting the procedural organisation, documentation pathways and coordination steps linked to Member State derogations under MDR Articles</w:t>
      </w:r>
      <w:r w:rsidRPr="004A7E5E">
        <w:rPr>
          <w:rFonts w:ascii="Arial" w:eastAsia="Times New Roman" w:hAnsi="Arial" w:cs="Arial"/>
          <w:szCs w:val="22"/>
          <w:lang w:eastAsia="en-GB"/>
        </w:rPr>
        <w:t> </w:t>
      </w:r>
      <w:r w:rsidRPr="004A7E5E">
        <w:rPr>
          <w:rFonts w:eastAsia="Times New Roman" w:cs="Calibri"/>
          <w:szCs w:val="22"/>
          <w:lang w:eastAsia="en-GB"/>
        </w:rPr>
        <w:t>59 and 59a, IVDR Articles</w:t>
      </w:r>
      <w:r w:rsidRPr="004A7E5E">
        <w:rPr>
          <w:rFonts w:ascii="Arial" w:eastAsia="Times New Roman" w:hAnsi="Arial" w:cs="Arial"/>
          <w:szCs w:val="22"/>
          <w:lang w:eastAsia="en-GB"/>
        </w:rPr>
        <w:t> </w:t>
      </w:r>
      <w:r w:rsidRPr="004A7E5E">
        <w:rPr>
          <w:rFonts w:eastAsia="Times New Roman" w:cs="Calibri"/>
          <w:szCs w:val="22"/>
          <w:lang w:eastAsia="en-GB"/>
        </w:rPr>
        <w:t>54 and 54a, including structured communication channels, harmonised templates, secure information exchange and optional MDCO</w:t>
      </w:r>
      <w:r w:rsidRPr="004A7E5E">
        <w:rPr>
          <w:rFonts w:eastAsia="Times New Roman" w:cs="Calibri"/>
          <w:szCs w:val="22"/>
          <w:lang w:eastAsia="en-GB"/>
        </w:rPr>
        <w:noBreakHyphen/>
        <w:t>facilitated coordination among Member States when a derogation has cross</w:t>
      </w:r>
      <w:r w:rsidRPr="004A7E5E">
        <w:rPr>
          <w:rFonts w:eastAsia="Times New Roman" w:cs="Calibri"/>
          <w:szCs w:val="22"/>
          <w:lang w:eastAsia="en-GB"/>
        </w:rPr>
        <w:noBreakHyphen/>
        <w:t xml:space="preserve">border relevance; ensuring alignment of timelines, document formats, and procedural notifications while fully respecting that </w:t>
      </w:r>
      <w:r w:rsidRPr="004A7E5E">
        <w:rPr>
          <w:rFonts w:eastAsia="Times New Roman" w:cs="Calibri"/>
          <w:b/>
          <w:szCs w:val="22"/>
          <w:lang w:eastAsia="en-GB"/>
        </w:rPr>
        <w:t>derogation decisions remain exclusively within Member State and Commission authority</w:t>
      </w:r>
      <w:r w:rsidRPr="004A7E5E">
        <w:rPr>
          <w:rFonts w:eastAsia="Times New Roman" w:cs="Calibri"/>
          <w:szCs w:val="22"/>
          <w:lang w:eastAsia="en-GB"/>
        </w:rPr>
        <w:t>.</w:t>
      </w:r>
      <w:r w:rsidRPr="004A7E5E">
        <w:rPr>
          <w:rFonts w:eastAsia="Times New Roman" w:cs="Calibri"/>
          <w:szCs w:val="22"/>
          <w:lang w:eastAsia="en-GB"/>
        </w:rPr>
        <w:br/>
      </w:r>
      <w:r w:rsidRPr="004A7E5E">
        <w:rPr>
          <w:rFonts w:eastAsia="Times New Roman" w:cs="Calibri"/>
          <w:kern w:val="2"/>
          <w:szCs w:val="22"/>
          <w:lang w:val="fr-BE" w:eastAsia="en-GB"/>
          <w14:ligatures w14:val="standardContextual"/>
        </w:rPr>
        <w:t xml:space="preserve">Relevant MDR/IVDR provisions: </w:t>
      </w:r>
      <w:r w:rsidRPr="004A7E5E">
        <w:rPr>
          <w:rFonts w:eastAsia="Times New Roman" w:cs="Calibri"/>
          <w:szCs w:val="22"/>
          <w:lang w:val="fr-BE" w:eastAsia="en-GB"/>
        </w:rPr>
        <w:t>MDR Articles</w:t>
      </w:r>
      <w:r w:rsidRPr="004A7E5E">
        <w:rPr>
          <w:rFonts w:ascii="Arial" w:eastAsia="Times New Roman" w:hAnsi="Arial" w:cs="Arial"/>
          <w:szCs w:val="22"/>
          <w:lang w:val="fr-BE" w:eastAsia="en-GB"/>
        </w:rPr>
        <w:t> </w:t>
      </w:r>
      <w:r w:rsidRPr="004A7E5E">
        <w:rPr>
          <w:rFonts w:eastAsia="Times New Roman" w:cs="Calibri"/>
          <w:szCs w:val="22"/>
          <w:lang w:val="fr-BE" w:eastAsia="en-GB"/>
        </w:rPr>
        <w:t>59 -59a, IVDR Articles</w:t>
      </w:r>
      <w:r w:rsidRPr="004A7E5E">
        <w:rPr>
          <w:rFonts w:ascii="Arial" w:eastAsia="Times New Roman" w:hAnsi="Arial" w:cs="Arial"/>
          <w:szCs w:val="22"/>
          <w:lang w:val="fr-BE" w:eastAsia="en-GB"/>
        </w:rPr>
        <w:t> </w:t>
      </w:r>
      <w:r w:rsidRPr="004A7E5E">
        <w:rPr>
          <w:rFonts w:eastAsia="Times New Roman" w:cs="Calibri"/>
          <w:szCs w:val="22"/>
          <w:lang w:val="fr-BE" w:eastAsia="en-GB"/>
        </w:rPr>
        <w:t xml:space="preserve">54-54a. </w:t>
      </w:r>
    </w:p>
    <w:p w14:paraId="189AE37D" w14:textId="31A74A4B" w:rsidR="000472C4" w:rsidRPr="004A7E5E" w:rsidRDefault="00167A93" w:rsidP="00700B94">
      <w:pPr>
        <w:pStyle w:val="Paragraphedeliste"/>
        <w:numPr>
          <w:ilvl w:val="0"/>
          <w:numId w:val="4"/>
        </w:numPr>
        <w:rPr>
          <w:lang w:eastAsia="en-GB"/>
        </w:rPr>
      </w:pPr>
      <w:r>
        <w:rPr>
          <w:b/>
          <w:bCs/>
          <w:lang w:eastAsia="en-GB"/>
        </w:rPr>
        <w:t>P</w:t>
      </w:r>
      <w:r w:rsidR="000472C4" w:rsidRPr="002C31FC">
        <w:rPr>
          <w:b/>
          <w:bCs/>
          <w:lang w:eastAsia="en-GB"/>
        </w:rPr>
        <w:t>rocedural support for Member State vigilance coordination</w:t>
      </w:r>
      <w:r w:rsidR="000472C4" w:rsidRPr="004A7E5E">
        <w:rPr>
          <w:lang w:eastAsia="en-GB"/>
        </w:rPr>
        <w:t>, including harmonised templates, structured cross</w:t>
      </w:r>
      <w:r w:rsidR="000472C4" w:rsidRPr="004A7E5E">
        <w:rPr>
          <w:lang w:eastAsia="en-GB"/>
        </w:rPr>
        <w:noBreakHyphen/>
        <w:t>border workflows and secure platforms for information exchange.</w:t>
      </w:r>
    </w:p>
    <w:p w14:paraId="0915EC69" w14:textId="77777777" w:rsidR="000472C4" w:rsidRPr="004A7E5E" w:rsidRDefault="000472C4" w:rsidP="0024535D">
      <w:pPr>
        <w:pStyle w:val="Paragraphedeliste"/>
        <w:rPr>
          <w:lang w:eastAsia="en-GB"/>
        </w:rPr>
      </w:pPr>
      <w:r w:rsidRPr="004A7E5E">
        <w:rPr>
          <w:lang w:eastAsia="en-GB"/>
        </w:rPr>
        <w:t>Relevant MDR/IVDR provisions: MDR: Art.</w:t>
      </w:r>
      <w:r w:rsidRPr="002C31FC">
        <w:rPr>
          <w:rFonts w:ascii="Arial" w:hAnsi="Arial" w:cs="Arial"/>
          <w:lang w:eastAsia="en-GB"/>
        </w:rPr>
        <w:t> </w:t>
      </w:r>
      <w:r w:rsidRPr="004A7E5E">
        <w:rPr>
          <w:lang w:eastAsia="en-GB"/>
        </w:rPr>
        <w:t>87</w:t>
      </w:r>
      <w:r w:rsidRPr="002C31FC">
        <w:rPr>
          <w:rFonts w:cs="Aptos"/>
          <w:lang w:eastAsia="en-GB"/>
        </w:rPr>
        <w:t>–</w:t>
      </w:r>
      <w:r w:rsidRPr="004A7E5E">
        <w:rPr>
          <w:lang w:eastAsia="en-GB"/>
        </w:rPr>
        <w:t>90; IVDR: Art.</w:t>
      </w:r>
      <w:r w:rsidRPr="002C31FC">
        <w:rPr>
          <w:rFonts w:ascii="Arial" w:hAnsi="Arial" w:cs="Arial"/>
          <w:lang w:eastAsia="en-GB"/>
        </w:rPr>
        <w:t> </w:t>
      </w:r>
      <w:r w:rsidRPr="004A7E5E">
        <w:rPr>
          <w:lang w:eastAsia="en-GB"/>
        </w:rPr>
        <w:t>82</w:t>
      </w:r>
      <w:r w:rsidRPr="002C31FC">
        <w:rPr>
          <w:rFonts w:cs="Aptos"/>
          <w:lang w:eastAsia="en-GB"/>
        </w:rPr>
        <w:t>–</w:t>
      </w:r>
      <w:r w:rsidRPr="004A7E5E">
        <w:rPr>
          <w:lang w:eastAsia="en-GB"/>
        </w:rPr>
        <w:t>86</w:t>
      </w:r>
    </w:p>
    <w:p w14:paraId="291B1BE3" w14:textId="79D9DC9C" w:rsidR="000472C4" w:rsidRPr="004A7E5E" w:rsidRDefault="000472C4" w:rsidP="00700B94">
      <w:pPr>
        <w:pStyle w:val="Paragraphedeliste"/>
        <w:numPr>
          <w:ilvl w:val="0"/>
          <w:numId w:val="4"/>
        </w:numPr>
        <w:rPr>
          <w:lang w:eastAsia="en-GB"/>
        </w:rPr>
      </w:pPr>
      <w:r w:rsidRPr="002C31FC">
        <w:rPr>
          <w:b/>
          <w:bCs/>
          <w:lang w:eastAsia="en-GB"/>
        </w:rPr>
        <w:t>Union</w:t>
      </w:r>
      <w:r w:rsidRPr="002C31FC">
        <w:rPr>
          <w:b/>
          <w:bCs/>
          <w:lang w:eastAsia="en-GB"/>
        </w:rPr>
        <w:noBreakHyphen/>
        <w:t>wide training and harmonisation support for national authorities</w:t>
      </w:r>
      <w:r w:rsidRPr="004A7E5E">
        <w:rPr>
          <w:lang w:eastAsia="en-GB"/>
        </w:rPr>
        <w:t>, including coordinated training programmes, common guidance libraries, harmonisation workshops and structured knowledge</w:t>
      </w:r>
      <w:r w:rsidRPr="004A7E5E">
        <w:rPr>
          <w:lang w:eastAsia="en-GB"/>
        </w:rPr>
        <w:noBreakHyphen/>
        <w:t>exchange platforms</w:t>
      </w:r>
      <w:r w:rsidR="00504945">
        <w:rPr>
          <w:lang w:eastAsia="en-GB"/>
        </w:rPr>
        <w:t>.</w:t>
      </w:r>
    </w:p>
    <w:p w14:paraId="10099F98" w14:textId="35F143CF" w:rsidR="000472C4" w:rsidRPr="004A7E5E" w:rsidRDefault="00504945" w:rsidP="00700B94">
      <w:pPr>
        <w:pStyle w:val="Paragraphedeliste"/>
        <w:numPr>
          <w:ilvl w:val="0"/>
          <w:numId w:val="4"/>
        </w:numPr>
        <w:rPr>
          <w:lang w:eastAsia="en-GB"/>
        </w:rPr>
      </w:pPr>
      <w:r>
        <w:rPr>
          <w:b/>
          <w:bCs/>
          <w:lang w:eastAsia="en-GB"/>
        </w:rPr>
        <w:t>C</w:t>
      </w:r>
      <w:r w:rsidR="000472C4" w:rsidRPr="002C31FC">
        <w:rPr>
          <w:b/>
          <w:bCs/>
          <w:lang w:eastAsia="en-GB"/>
        </w:rPr>
        <w:t>oordination of regulatory sandboxes</w:t>
      </w:r>
      <w:r w:rsidR="000472C4" w:rsidRPr="004A7E5E">
        <w:rPr>
          <w:lang w:eastAsia="en-GB"/>
        </w:rPr>
        <w:t>, including intake and validation of applications, facilitation of Member State cooperation, maintenance of sandbox documentation and coordination of reporting to MDCG and the Commission.</w:t>
      </w:r>
    </w:p>
    <w:p w14:paraId="5C3C52AC" w14:textId="77777777" w:rsidR="000472C4" w:rsidRPr="004A7E5E" w:rsidRDefault="000472C4" w:rsidP="0024535D">
      <w:pPr>
        <w:pStyle w:val="Paragraphedeliste"/>
        <w:rPr>
          <w:lang w:eastAsia="en-GB"/>
        </w:rPr>
      </w:pPr>
      <w:r w:rsidRPr="004A7E5E">
        <w:rPr>
          <w:lang w:eastAsia="en-GB"/>
        </w:rPr>
        <w:t>Relevant MDR/IVDR provisions: MDR: Art.</w:t>
      </w:r>
      <w:r w:rsidRPr="002C31FC">
        <w:rPr>
          <w:rFonts w:ascii="Arial" w:hAnsi="Arial" w:cs="Arial"/>
          <w:lang w:eastAsia="en-GB"/>
        </w:rPr>
        <w:t> </w:t>
      </w:r>
      <w:r w:rsidRPr="004A7E5E">
        <w:rPr>
          <w:lang w:eastAsia="en-GB"/>
        </w:rPr>
        <w:t>59b</w:t>
      </w:r>
      <w:r w:rsidRPr="002C31FC">
        <w:rPr>
          <w:rFonts w:cs="Aptos"/>
          <w:lang w:eastAsia="en-GB"/>
        </w:rPr>
        <w:t>–</w:t>
      </w:r>
      <w:r w:rsidRPr="004A7E5E">
        <w:rPr>
          <w:lang w:eastAsia="en-GB"/>
        </w:rPr>
        <w:t>59c; IVDR: Art.</w:t>
      </w:r>
      <w:r w:rsidRPr="002C31FC">
        <w:rPr>
          <w:rFonts w:ascii="Arial" w:hAnsi="Arial" w:cs="Arial"/>
          <w:lang w:eastAsia="en-GB"/>
        </w:rPr>
        <w:t> </w:t>
      </w:r>
      <w:r w:rsidRPr="004A7E5E">
        <w:rPr>
          <w:lang w:eastAsia="en-GB"/>
        </w:rPr>
        <w:t>54b</w:t>
      </w:r>
      <w:r w:rsidRPr="002C31FC">
        <w:rPr>
          <w:rFonts w:cs="Aptos"/>
          <w:lang w:eastAsia="en-GB"/>
        </w:rPr>
        <w:t>–</w:t>
      </w:r>
      <w:r w:rsidRPr="004A7E5E">
        <w:rPr>
          <w:lang w:eastAsia="en-GB"/>
        </w:rPr>
        <w:t>54c.</w:t>
      </w:r>
    </w:p>
    <w:p w14:paraId="113C8321" w14:textId="1ADF90DB" w:rsidR="000472C4" w:rsidRPr="004A7E5E" w:rsidRDefault="000472C4" w:rsidP="000472C4">
      <w:pPr>
        <w:spacing w:after="0" w:line="256" w:lineRule="auto"/>
        <w:jc w:val="center"/>
        <w:rPr>
          <w:rFonts w:eastAsia="Times New Roman" w:cs="Calibri"/>
          <w:iCs w:val="0"/>
          <w:kern w:val="2"/>
          <w:szCs w:val="22"/>
          <w:lang w:eastAsia="en-GB"/>
          <w14:ligatures w14:val="standardContextual"/>
        </w:rPr>
      </w:pPr>
    </w:p>
    <w:p w14:paraId="597F3904" w14:textId="620990D1" w:rsidR="000472C4" w:rsidRPr="0024535D" w:rsidRDefault="00927144" w:rsidP="000472C4">
      <w:pPr>
        <w:spacing w:after="0" w:line="256" w:lineRule="auto"/>
        <w:rPr>
          <w:rStyle w:val="Accentuationintense"/>
        </w:rPr>
      </w:pPr>
      <w:r w:rsidRPr="00927144">
        <w:rPr>
          <w:rStyle w:val="Accentuationintense"/>
        </w:rPr>
        <w:t>Summary of operational benefits</w:t>
      </w:r>
      <w:r>
        <w:rPr>
          <w:rStyle w:val="Accentuationintense"/>
        </w:rPr>
        <w:t xml:space="preserve"> of establishing MDCO</w:t>
      </w:r>
    </w:p>
    <w:p w14:paraId="00BB38DB" w14:textId="567B7BB0" w:rsidR="000472C4" w:rsidRPr="004A7E5E" w:rsidRDefault="000472C4" w:rsidP="0024535D">
      <w:pPr>
        <w:rPr>
          <w:lang w:eastAsia="en-GB"/>
        </w:rPr>
      </w:pPr>
      <w:r w:rsidRPr="004A7E5E">
        <w:rPr>
          <w:lang w:eastAsia="en-GB"/>
        </w:rPr>
        <w:t xml:space="preserve">By consolidating currently fragmented operational activities, MDCO </w:t>
      </w:r>
      <w:r w:rsidR="00AD79CF">
        <w:rPr>
          <w:lang w:eastAsia="en-GB"/>
        </w:rPr>
        <w:t>would support</w:t>
      </w:r>
    </w:p>
    <w:p w14:paraId="2980DA57" w14:textId="77777777" w:rsidR="000472C4" w:rsidRPr="004A7E5E" w:rsidRDefault="000472C4" w:rsidP="00700B94">
      <w:pPr>
        <w:pStyle w:val="Paragraphedeliste"/>
        <w:numPr>
          <w:ilvl w:val="0"/>
          <w:numId w:val="10"/>
        </w:numPr>
        <w:rPr>
          <w:lang w:eastAsia="en-GB"/>
        </w:rPr>
      </w:pPr>
      <w:r w:rsidRPr="004A7E5E">
        <w:rPr>
          <w:lang w:eastAsia="en-GB"/>
        </w:rPr>
        <w:t>predictable and efficient Union</w:t>
      </w:r>
      <w:r w:rsidRPr="004A7E5E">
        <w:rPr>
          <w:lang w:eastAsia="en-GB"/>
        </w:rPr>
        <w:noBreakHyphen/>
        <w:t>level processes</w:t>
      </w:r>
    </w:p>
    <w:p w14:paraId="4F44F899" w14:textId="77777777" w:rsidR="000472C4" w:rsidRPr="004A7E5E" w:rsidRDefault="000472C4" w:rsidP="00700B94">
      <w:pPr>
        <w:pStyle w:val="Paragraphedeliste"/>
        <w:numPr>
          <w:ilvl w:val="0"/>
          <w:numId w:val="10"/>
        </w:numPr>
        <w:rPr>
          <w:lang w:eastAsia="en-GB"/>
        </w:rPr>
      </w:pPr>
      <w:r w:rsidRPr="004A7E5E">
        <w:rPr>
          <w:lang w:eastAsia="en-GB"/>
        </w:rPr>
        <w:t>reduced fragmentation across Member States</w:t>
      </w:r>
    </w:p>
    <w:p w14:paraId="2401E561" w14:textId="3EEB308A" w:rsidR="000472C4" w:rsidRPr="004A7E5E" w:rsidRDefault="00BB641E" w:rsidP="00700B94">
      <w:pPr>
        <w:pStyle w:val="Paragraphedeliste"/>
        <w:numPr>
          <w:ilvl w:val="0"/>
          <w:numId w:val="10"/>
        </w:numPr>
        <w:rPr>
          <w:lang w:eastAsia="en-GB"/>
        </w:rPr>
      </w:pPr>
      <w:r>
        <w:rPr>
          <w:lang w:eastAsia="en-GB"/>
        </w:rPr>
        <w:t xml:space="preserve">more consistent </w:t>
      </w:r>
      <w:r w:rsidR="000472C4" w:rsidRPr="004A7E5E">
        <w:rPr>
          <w:lang w:eastAsia="en-GB"/>
        </w:rPr>
        <w:t xml:space="preserve">NB </w:t>
      </w:r>
      <w:r w:rsidR="00246349">
        <w:rPr>
          <w:lang w:eastAsia="en-GB"/>
        </w:rPr>
        <w:t>coordination</w:t>
      </w:r>
    </w:p>
    <w:p w14:paraId="77C989A9" w14:textId="77777777" w:rsidR="000472C4" w:rsidRPr="004A7E5E" w:rsidRDefault="000472C4" w:rsidP="00700B94">
      <w:pPr>
        <w:pStyle w:val="Paragraphedeliste"/>
        <w:numPr>
          <w:ilvl w:val="0"/>
          <w:numId w:val="10"/>
        </w:numPr>
        <w:rPr>
          <w:lang w:eastAsia="en-GB"/>
        </w:rPr>
      </w:pPr>
      <w:r w:rsidRPr="004A7E5E">
        <w:rPr>
          <w:lang w:eastAsia="en-GB"/>
        </w:rPr>
        <w:t>more coherent support for Expert Panels</w:t>
      </w:r>
    </w:p>
    <w:p w14:paraId="09B306EB" w14:textId="4F6EFD3C" w:rsidR="000472C4" w:rsidRPr="004A7E5E" w:rsidRDefault="000472C4" w:rsidP="00700B94">
      <w:pPr>
        <w:pStyle w:val="Paragraphedeliste"/>
        <w:numPr>
          <w:ilvl w:val="0"/>
          <w:numId w:val="10"/>
        </w:numPr>
        <w:rPr>
          <w:lang w:eastAsia="en-GB"/>
        </w:rPr>
      </w:pPr>
      <w:r w:rsidRPr="004A7E5E">
        <w:rPr>
          <w:lang w:eastAsia="en-GB"/>
        </w:rPr>
        <w:t>clearer processes for manufacturers</w:t>
      </w:r>
      <w:r w:rsidR="00246349">
        <w:rPr>
          <w:lang w:eastAsia="en-GB"/>
        </w:rPr>
        <w:t>, including SMEs</w:t>
      </w:r>
    </w:p>
    <w:p w14:paraId="341D15DA" w14:textId="55E24CC6" w:rsidR="000472C4" w:rsidRPr="004A7E5E" w:rsidRDefault="000472C4" w:rsidP="000472C4">
      <w:pPr>
        <w:spacing w:after="0" w:line="256" w:lineRule="auto"/>
        <w:jc w:val="center"/>
        <w:rPr>
          <w:rFonts w:eastAsia="Times New Roman" w:cs="Calibri"/>
          <w:iCs w:val="0"/>
          <w:kern w:val="2"/>
          <w:szCs w:val="22"/>
          <w:lang w:eastAsia="en-GB"/>
          <w14:ligatures w14:val="standardContextual"/>
        </w:rPr>
      </w:pPr>
    </w:p>
    <w:p w14:paraId="09EA0966" w14:textId="10299AC2" w:rsidR="00680C3E" w:rsidRPr="004A7E5E" w:rsidRDefault="00680C3E" w:rsidP="0024535D">
      <w:pPr>
        <w:pStyle w:val="Titre2"/>
      </w:pPr>
      <w:bookmarkStart w:id="129" w:name="_Toc225929769"/>
      <w:bookmarkStart w:id="130" w:name="_Toc225930222"/>
      <w:bookmarkStart w:id="131" w:name="_Toc225930673"/>
      <w:bookmarkStart w:id="132" w:name="_Toc225931131"/>
      <w:bookmarkStart w:id="133" w:name="_Toc225931588"/>
      <w:bookmarkStart w:id="134" w:name="_Toc225932028"/>
      <w:bookmarkStart w:id="135" w:name="_Toc225932468"/>
      <w:bookmarkStart w:id="136" w:name="_Toc225932908"/>
      <w:bookmarkStart w:id="137" w:name="_Toc225933348"/>
      <w:bookmarkStart w:id="138" w:name="_Toc225948655"/>
      <w:bookmarkStart w:id="139" w:name="_Toc225949284"/>
      <w:bookmarkStart w:id="140" w:name="_Toc225963329"/>
      <w:bookmarkStart w:id="141" w:name="_Toc226533684"/>
      <w:bookmarkEnd w:id="129"/>
      <w:bookmarkEnd w:id="130"/>
      <w:bookmarkEnd w:id="131"/>
      <w:bookmarkEnd w:id="132"/>
      <w:bookmarkEnd w:id="133"/>
      <w:bookmarkEnd w:id="134"/>
      <w:bookmarkEnd w:id="135"/>
      <w:bookmarkEnd w:id="136"/>
      <w:bookmarkEnd w:id="137"/>
      <w:bookmarkEnd w:id="138"/>
      <w:bookmarkEnd w:id="139"/>
      <w:bookmarkEnd w:id="140"/>
      <w:r w:rsidRPr="004A7E5E">
        <w:t xml:space="preserve">Establish a clear governance model for </w:t>
      </w:r>
      <w:bookmarkEnd w:id="127"/>
      <w:r w:rsidR="00BB1FD4" w:rsidRPr="004A7E5E">
        <w:t>expert panels</w:t>
      </w:r>
      <w:bookmarkEnd w:id="141"/>
    </w:p>
    <w:p w14:paraId="61B86B7E" w14:textId="3A660DD4" w:rsidR="00680C3E" w:rsidRPr="004A7E5E" w:rsidRDefault="006B2069" w:rsidP="0024535D">
      <w:r w:rsidRPr="006B2069">
        <w:t>Clear governance arrangements for Expert Panels are essential to ensure transparency, predictability, and consistent integration of scientific advice into Union</w:t>
      </w:r>
      <w:r w:rsidRPr="006B2069">
        <w:rPr>
          <w:rFonts w:ascii="Cambria Math" w:hAnsi="Cambria Math" w:cs="Cambria Math"/>
        </w:rPr>
        <w:t>‑</w:t>
      </w:r>
      <w:r w:rsidRPr="006B2069">
        <w:t>level processes.</w:t>
      </w:r>
      <w:r w:rsidR="004A1AE9">
        <w:t xml:space="preserve"> </w:t>
      </w:r>
      <w:r w:rsidR="00680C3E" w:rsidRPr="004A7E5E">
        <w:t>To achieve this, Team</w:t>
      </w:r>
      <w:r w:rsidR="00680C3E" w:rsidRPr="004A7E5E">
        <w:noBreakHyphen/>
        <w:t xml:space="preserve">NB proposes that the </w:t>
      </w:r>
      <w:r w:rsidR="008D2F16">
        <w:t xml:space="preserve">new </w:t>
      </w:r>
      <w:r w:rsidR="00680C3E" w:rsidRPr="004A7E5E">
        <w:t>governance model shoul</w:t>
      </w:r>
      <w:r w:rsidR="004A1AE9">
        <w:t>d</w:t>
      </w:r>
      <w:r w:rsidR="008D2F16">
        <w:t xml:space="preserve"> clarify:</w:t>
      </w:r>
    </w:p>
    <w:p w14:paraId="7B00B7FB" w14:textId="4E5DA659" w:rsidR="00680C3E" w:rsidRPr="004A7E5E" w:rsidRDefault="00680C3E" w:rsidP="00700B94">
      <w:pPr>
        <w:pStyle w:val="Paragraphedeliste"/>
        <w:numPr>
          <w:ilvl w:val="0"/>
          <w:numId w:val="2"/>
        </w:numPr>
        <w:rPr>
          <w:rFonts w:eastAsia="Calibri" w:cs="Times New Roman"/>
          <w:szCs w:val="22"/>
        </w:rPr>
      </w:pPr>
      <w:r w:rsidRPr="004A7E5E">
        <w:rPr>
          <w:rFonts w:eastAsia="Calibri" w:cs="Times New Roman"/>
          <w:b/>
          <w:szCs w:val="22"/>
        </w:rPr>
        <w:lastRenderedPageBreak/>
        <w:t>The interaction between Expert Panels and NBCG</w:t>
      </w:r>
      <w:r w:rsidRPr="004A7E5E">
        <w:rPr>
          <w:rFonts w:eastAsia="Calibri" w:cs="Times New Roman"/>
          <w:b/>
          <w:szCs w:val="22"/>
        </w:rPr>
        <w:noBreakHyphen/>
        <w:t>Med</w:t>
      </w:r>
      <w:r w:rsidRPr="004A7E5E">
        <w:rPr>
          <w:rFonts w:eastAsia="Calibri" w:cs="Times New Roman"/>
          <w:szCs w:val="22"/>
        </w:rPr>
        <w:t xml:space="preserve">, </w:t>
      </w:r>
      <w:r w:rsidR="00DE498F">
        <w:rPr>
          <w:rFonts w:eastAsia="Calibri" w:cs="Times New Roman"/>
          <w:szCs w:val="22"/>
        </w:rPr>
        <w:t xml:space="preserve">describing </w:t>
      </w:r>
      <w:r w:rsidRPr="004A7E5E">
        <w:rPr>
          <w:rFonts w:eastAsia="Calibri" w:cs="Times New Roman"/>
          <w:szCs w:val="22"/>
        </w:rPr>
        <w:t>that NBCG</w:t>
      </w:r>
      <w:r w:rsidRPr="004A7E5E">
        <w:rPr>
          <w:rFonts w:eastAsia="Calibri" w:cs="Times New Roman"/>
          <w:szCs w:val="22"/>
        </w:rPr>
        <w:noBreakHyphen/>
        <w:t>Med provides a forum for coordination and exchange.</w:t>
      </w:r>
    </w:p>
    <w:p w14:paraId="659F1802" w14:textId="4AC799F9" w:rsidR="00680C3E" w:rsidRPr="004A7E5E" w:rsidRDefault="00680C3E" w:rsidP="00700B94">
      <w:pPr>
        <w:pStyle w:val="Paragraphedeliste"/>
        <w:numPr>
          <w:ilvl w:val="0"/>
          <w:numId w:val="2"/>
        </w:numPr>
        <w:rPr>
          <w:rFonts w:eastAsia="Calibri" w:cs="Times New Roman"/>
          <w:szCs w:val="22"/>
        </w:rPr>
      </w:pPr>
      <w:r w:rsidRPr="004A7E5E">
        <w:rPr>
          <w:rFonts w:eastAsia="Calibri" w:cs="Times New Roman"/>
          <w:b/>
          <w:szCs w:val="22"/>
        </w:rPr>
        <w:t>How expert panel outputs are integrated into Union processes</w:t>
      </w:r>
      <w:r w:rsidRPr="004A7E5E">
        <w:rPr>
          <w:rFonts w:eastAsia="Calibri" w:cs="Times New Roman"/>
          <w:szCs w:val="22"/>
        </w:rPr>
        <w:t>, including classification, qualification, and the evaluation of applications for Breakthrough and Orphan designations, in a manner that ensures proportionality, consistency, and timely decision</w:t>
      </w:r>
      <w:r w:rsidRPr="004A7E5E">
        <w:rPr>
          <w:rFonts w:eastAsia="Calibri" w:cs="Times New Roman"/>
          <w:szCs w:val="22"/>
        </w:rPr>
        <w:noBreakHyphen/>
        <w:t>making.</w:t>
      </w:r>
    </w:p>
    <w:p w14:paraId="2369006F" w14:textId="77777777" w:rsidR="00680C3E" w:rsidRPr="004A7E5E" w:rsidRDefault="00680C3E" w:rsidP="0024535D">
      <w:pPr>
        <w:rPr>
          <w:rFonts w:eastAsia="Calibri" w:cs="Times New Roman"/>
          <w:szCs w:val="22"/>
        </w:rPr>
      </w:pPr>
      <w:r w:rsidRPr="004A7E5E">
        <w:rPr>
          <w:rFonts w:eastAsia="Calibri" w:cs="Times New Roman"/>
          <w:szCs w:val="22"/>
        </w:rPr>
        <w:t>This structure would ensure transparency, reinforce the independence of scientific advice, and provide a clear and coherent framework for the participation of NB experts in Expert Panel activities.</w:t>
      </w:r>
    </w:p>
    <w:p w14:paraId="26FE504E" w14:textId="44F86842" w:rsidR="00680C3E" w:rsidRPr="006A5D64" w:rsidRDefault="00680C3E" w:rsidP="0024535D">
      <w:pPr>
        <w:pStyle w:val="Titre2"/>
      </w:pPr>
      <w:bookmarkStart w:id="142" w:name="_Toc225110537"/>
      <w:bookmarkStart w:id="143" w:name="_Toc226533685"/>
      <w:r w:rsidRPr="006A5D64">
        <w:t xml:space="preserve">Allow NB personnel to contribute under strict independence </w:t>
      </w:r>
      <w:r w:rsidR="00B736AB">
        <w:t xml:space="preserve">and impartiality </w:t>
      </w:r>
      <w:r w:rsidRPr="006A5D64">
        <w:t>safeguards</w:t>
      </w:r>
      <w:bookmarkEnd w:id="142"/>
      <w:bookmarkEnd w:id="143"/>
    </w:p>
    <w:p w14:paraId="211A9CDD" w14:textId="11EAF845" w:rsidR="00680C3E" w:rsidRPr="004A7E5E" w:rsidRDefault="0066568A" w:rsidP="0024535D">
      <w:pPr>
        <w:rPr>
          <w:lang w:eastAsia="en-GB"/>
        </w:rPr>
      </w:pPr>
      <w:r w:rsidRPr="0066568A">
        <w:rPr>
          <w:lang w:eastAsia="en-GB"/>
        </w:rPr>
        <w:t>Notified body personnel possess validated regulatory and technical expertise assessed by national designating authorities</w:t>
      </w:r>
      <w:r w:rsidR="00680C3E" w:rsidRPr="004A7E5E">
        <w:rPr>
          <w:lang w:eastAsia="en-GB"/>
        </w:rPr>
        <w:t xml:space="preserve">. </w:t>
      </w:r>
      <w:r w:rsidR="00D1296D" w:rsidRPr="00D1296D">
        <w:rPr>
          <w:lang w:eastAsia="en-GB"/>
        </w:rPr>
        <w:t xml:space="preserve">Their participation can strengthen the scientific and regulatory robustness of Expert Panels, provided strict safeguards ensure </w:t>
      </w:r>
      <w:r w:rsidR="00FB3AA9">
        <w:rPr>
          <w:lang w:eastAsia="en-GB"/>
        </w:rPr>
        <w:t xml:space="preserve">independence and </w:t>
      </w:r>
      <w:r w:rsidR="00D1296D" w:rsidRPr="00D1296D">
        <w:rPr>
          <w:lang w:eastAsia="en-GB"/>
        </w:rPr>
        <w:t>impartiality.</w:t>
      </w:r>
    </w:p>
    <w:p w14:paraId="15009EF5" w14:textId="29590B5A" w:rsidR="00680C3E" w:rsidRPr="0024535D" w:rsidRDefault="00680C3E" w:rsidP="0024535D">
      <w:pPr>
        <w:rPr>
          <w:rStyle w:val="Accentuationintense"/>
        </w:rPr>
      </w:pPr>
      <w:r w:rsidRPr="0024535D">
        <w:rPr>
          <w:rStyle w:val="Accentuationintense"/>
        </w:rPr>
        <w:t>Team</w:t>
      </w:r>
      <w:r w:rsidRPr="0024535D">
        <w:rPr>
          <w:rStyle w:val="Accentuationintense"/>
        </w:rPr>
        <w:noBreakHyphen/>
        <w:t>NB proposal</w:t>
      </w:r>
    </w:p>
    <w:p w14:paraId="13E1A39F" w14:textId="77777777" w:rsidR="00E771D9" w:rsidRPr="00E771D9" w:rsidRDefault="00680C3E" w:rsidP="00700B94">
      <w:pPr>
        <w:pStyle w:val="Paragraphedeliste"/>
        <w:numPr>
          <w:ilvl w:val="0"/>
          <w:numId w:val="11"/>
        </w:numPr>
        <w:rPr>
          <w:lang w:eastAsia="en-GB"/>
        </w:rPr>
      </w:pPr>
      <w:r w:rsidRPr="00E771D9">
        <w:rPr>
          <w:b/>
          <w:bCs/>
          <w:lang w:eastAsia="en-GB"/>
        </w:rPr>
        <w:t xml:space="preserve">NB experts apply </w:t>
      </w:r>
      <w:r w:rsidR="00FB3AA9" w:rsidRPr="00E771D9">
        <w:rPr>
          <w:b/>
          <w:bCs/>
          <w:lang w:eastAsia="en-GB"/>
        </w:rPr>
        <w:t xml:space="preserve">and are appointed </w:t>
      </w:r>
      <w:r w:rsidRPr="00E771D9">
        <w:rPr>
          <w:b/>
          <w:bCs/>
          <w:lang w:eastAsia="en-GB"/>
        </w:rPr>
        <w:t>as individual professionals</w:t>
      </w:r>
      <w:r w:rsidRPr="004A7E5E">
        <w:rPr>
          <w:lang w:eastAsia="en-GB"/>
        </w:rPr>
        <w:t xml:space="preserve">, </w:t>
      </w:r>
      <w:r w:rsidR="00E771D9" w:rsidRPr="00E771D9">
        <w:rPr>
          <w:lang w:eastAsia="en-GB"/>
        </w:rPr>
        <w:t>not as representatives of their notified body;</w:t>
      </w:r>
    </w:p>
    <w:p w14:paraId="27667F8B" w14:textId="524EBAA4" w:rsidR="00680C3E" w:rsidRPr="004A7E5E" w:rsidRDefault="00680C3E" w:rsidP="00700B94">
      <w:pPr>
        <w:pStyle w:val="Paragraphedeliste"/>
        <w:numPr>
          <w:ilvl w:val="0"/>
          <w:numId w:val="11"/>
        </w:numPr>
        <w:rPr>
          <w:lang w:eastAsia="en-GB"/>
        </w:rPr>
      </w:pPr>
      <w:r w:rsidRPr="00E771D9">
        <w:rPr>
          <w:b/>
          <w:bCs/>
          <w:lang w:eastAsia="en-GB"/>
        </w:rPr>
        <w:t>Nomination via NBCG</w:t>
      </w:r>
      <w:r w:rsidRPr="00E771D9">
        <w:rPr>
          <w:b/>
          <w:bCs/>
          <w:lang w:eastAsia="en-GB"/>
        </w:rPr>
        <w:noBreakHyphen/>
        <w:t>Med</w:t>
      </w:r>
      <w:r w:rsidRPr="004A7E5E">
        <w:rPr>
          <w:lang w:eastAsia="en-GB"/>
        </w:rPr>
        <w:t>, which compiles a balanced shortlist ensuring no NB is over</w:t>
      </w:r>
      <w:r w:rsidRPr="004A7E5E">
        <w:rPr>
          <w:lang w:eastAsia="en-GB"/>
        </w:rPr>
        <w:noBreakHyphen/>
        <w:t>represented.</w:t>
      </w:r>
    </w:p>
    <w:p w14:paraId="2237D23D" w14:textId="0B73AF00" w:rsidR="00680C3E" w:rsidRPr="0024535D" w:rsidRDefault="00680C3E" w:rsidP="00700B94">
      <w:pPr>
        <w:pStyle w:val="Paragraphedeliste"/>
        <w:numPr>
          <w:ilvl w:val="0"/>
          <w:numId w:val="11"/>
        </w:numPr>
        <w:rPr>
          <w:b/>
          <w:bCs/>
          <w:lang w:eastAsia="en-GB"/>
        </w:rPr>
      </w:pPr>
      <w:r w:rsidRPr="0024535D">
        <w:rPr>
          <w:b/>
          <w:bCs/>
          <w:lang w:eastAsia="en-GB"/>
        </w:rPr>
        <w:t>Appointment by EMA</w:t>
      </w:r>
      <w:r w:rsidR="00E771D9">
        <w:rPr>
          <w:b/>
          <w:bCs/>
          <w:lang w:eastAsia="en-GB"/>
        </w:rPr>
        <w:t xml:space="preserve"> and/or </w:t>
      </w:r>
      <w:r w:rsidRPr="0024535D">
        <w:rPr>
          <w:b/>
          <w:bCs/>
          <w:lang w:eastAsia="en-GB"/>
        </w:rPr>
        <w:t xml:space="preserve">Commission </w:t>
      </w:r>
    </w:p>
    <w:p w14:paraId="5289205C" w14:textId="7F38EA85" w:rsidR="00680C3E" w:rsidRPr="004A7E5E" w:rsidRDefault="00680C3E" w:rsidP="00700B94">
      <w:pPr>
        <w:pStyle w:val="Paragraphedeliste"/>
        <w:numPr>
          <w:ilvl w:val="0"/>
          <w:numId w:val="11"/>
        </w:numPr>
        <w:rPr>
          <w:lang w:eastAsia="en-GB"/>
        </w:rPr>
      </w:pPr>
      <w:r w:rsidRPr="0024535D">
        <w:rPr>
          <w:b/>
          <w:bCs/>
          <w:lang w:eastAsia="en-GB"/>
        </w:rPr>
        <w:t>Strict role separation</w:t>
      </w:r>
      <w:r w:rsidR="000F0679">
        <w:rPr>
          <w:b/>
          <w:bCs/>
          <w:lang w:eastAsia="en-GB"/>
        </w:rPr>
        <w:t xml:space="preserve"> </w:t>
      </w:r>
      <w:r w:rsidR="000F0679" w:rsidRPr="000F0679">
        <w:rPr>
          <w:lang w:eastAsia="en-GB"/>
        </w:rPr>
        <w:t>applies, including</w:t>
      </w:r>
      <w:r w:rsidRPr="000F0679">
        <w:rPr>
          <w:lang w:eastAsia="en-GB"/>
        </w:rPr>
        <w:t xml:space="preserve">: </w:t>
      </w:r>
      <w:r w:rsidRPr="004A7E5E">
        <w:rPr>
          <w:lang w:eastAsia="en-GB"/>
        </w:rPr>
        <w:br/>
        <w:t>To ensure independence and avoid conflicts of interest while maintaining NB operational capacity, the following principles apply:</w:t>
      </w:r>
    </w:p>
    <w:p w14:paraId="71AB5E15" w14:textId="77777777" w:rsidR="00680C3E" w:rsidRPr="0024535D" w:rsidRDefault="00680C3E" w:rsidP="00700B94">
      <w:pPr>
        <w:pStyle w:val="Paragraphedeliste"/>
        <w:numPr>
          <w:ilvl w:val="0"/>
          <w:numId w:val="12"/>
        </w:numPr>
        <w:rPr>
          <w:b/>
          <w:bCs/>
          <w:lang w:eastAsia="en-GB"/>
        </w:rPr>
      </w:pPr>
      <w:r w:rsidRPr="0024535D">
        <w:rPr>
          <w:b/>
          <w:bCs/>
          <w:lang w:eastAsia="en-GB"/>
        </w:rPr>
        <w:t>No involvement in directly related cases</w:t>
      </w:r>
    </w:p>
    <w:p w14:paraId="564544B6" w14:textId="6993D789" w:rsidR="00680C3E" w:rsidRPr="004A7E5E" w:rsidRDefault="00680C3E" w:rsidP="0024535D">
      <w:pPr>
        <w:pStyle w:val="Paragraphedeliste"/>
        <w:ind w:left="1068"/>
        <w:rPr>
          <w:lang w:eastAsia="en-GB"/>
        </w:rPr>
      </w:pPr>
      <w:r w:rsidRPr="004A7E5E">
        <w:rPr>
          <w:lang w:eastAsia="en-GB"/>
        </w:rPr>
        <w:t>An NB expert who has contributed to an Expert Panel opinion shall not be involved in any procedure directly relating to that specific Expert Panel opinion, including subsequent assessments for the same device</w:t>
      </w:r>
      <w:r w:rsidR="00664D3D">
        <w:rPr>
          <w:lang w:eastAsia="en-GB"/>
        </w:rPr>
        <w:t>.</w:t>
      </w:r>
      <w:r w:rsidR="00286BF1">
        <w:rPr>
          <w:lang w:eastAsia="en-GB"/>
        </w:rPr>
        <w:t xml:space="preserve"> </w:t>
      </w:r>
      <w:r w:rsidR="00286BF1" w:rsidRPr="00286BF1">
        <w:rPr>
          <w:lang w:eastAsia="en-GB"/>
        </w:rPr>
        <w:t>(Note - this must not preclude other experts from that NB working on subsequent submissions for the same device or from the same manufacturer)</w:t>
      </w:r>
      <w:r w:rsidRPr="004A7E5E">
        <w:rPr>
          <w:lang w:eastAsia="en-GB"/>
        </w:rPr>
        <w:t>.</w:t>
      </w:r>
    </w:p>
    <w:p w14:paraId="3A69E856" w14:textId="77777777" w:rsidR="00680C3E" w:rsidRPr="0024535D" w:rsidRDefault="00680C3E" w:rsidP="00700B94">
      <w:pPr>
        <w:pStyle w:val="Paragraphedeliste"/>
        <w:numPr>
          <w:ilvl w:val="0"/>
          <w:numId w:val="12"/>
        </w:numPr>
        <w:rPr>
          <w:b/>
          <w:bCs/>
          <w:lang w:eastAsia="en-GB"/>
        </w:rPr>
      </w:pPr>
      <w:r w:rsidRPr="0024535D">
        <w:rPr>
          <w:b/>
          <w:bCs/>
          <w:lang w:eastAsia="en-GB"/>
        </w:rPr>
        <w:t>No assessment of devices previously assessed by the expert’s NB</w:t>
      </w:r>
    </w:p>
    <w:p w14:paraId="0C030C81" w14:textId="77777777" w:rsidR="00680C3E" w:rsidRPr="004A7E5E" w:rsidRDefault="00680C3E" w:rsidP="0024535D">
      <w:pPr>
        <w:pStyle w:val="Paragraphedeliste"/>
        <w:ind w:left="1068"/>
        <w:rPr>
          <w:lang w:eastAsia="en-GB"/>
        </w:rPr>
      </w:pPr>
      <w:r w:rsidRPr="004A7E5E">
        <w:rPr>
          <w:lang w:eastAsia="en-GB"/>
        </w:rPr>
        <w:t>NB experts must not participate in Expert Panel discussions or opinions concerning devices that have been assessed by their own NB in the context of conformity assessment.</w:t>
      </w:r>
    </w:p>
    <w:p w14:paraId="768AE019" w14:textId="77777777" w:rsidR="00C84491" w:rsidRPr="00C84491" w:rsidRDefault="00637457" w:rsidP="00700B94">
      <w:pPr>
        <w:pStyle w:val="Paragraphedeliste"/>
        <w:numPr>
          <w:ilvl w:val="0"/>
          <w:numId w:val="11"/>
        </w:numPr>
        <w:rPr>
          <w:rFonts w:eastAsia="Times New Roman" w:cs="Calibri"/>
          <w:kern w:val="2"/>
          <w:szCs w:val="22"/>
          <w:lang w:eastAsia="en-GB"/>
          <w14:ligatures w14:val="standardContextual"/>
        </w:rPr>
      </w:pPr>
      <w:r>
        <w:rPr>
          <w:b/>
          <w:bCs/>
          <w:lang w:eastAsia="en-GB"/>
        </w:rPr>
        <w:t>T</w:t>
      </w:r>
      <w:r w:rsidRPr="00637457">
        <w:rPr>
          <w:b/>
          <w:bCs/>
          <w:lang w:eastAsia="en-GB"/>
        </w:rPr>
        <w:t>r</w:t>
      </w:r>
      <w:r>
        <w:rPr>
          <w:b/>
          <w:bCs/>
          <w:lang w:eastAsia="en-GB"/>
        </w:rPr>
        <w:t>ansparency r</w:t>
      </w:r>
      <w:r w:rsidRPr="00637457">
        <w:rPr>
          <w:b/>
          <w:bCs/>
          <w:lang w:eastAsia="en-GB"/>
        </w:rPr>
        <w:t xml:space="preserve">equirements </w:t>
      </w:r>
      <w:r w:rsidRPr="00637457">
        <w:rPr>
          <w:lang w:eastAsia="en-GB"/>
        </w:rPr>
        <w:t>apply equally to NB experts and other panel members.</w:t>
      </w:r>
    </w:p>
    <w:p w14:paraId="57D9FE89" w14:textId="1D5D8059" w:rsidR="00680C3E" w:rsidRPr="004A7E5E" w:rsidRDefault="00680C3E" w:rsidP="00700B94">
      <w:pPr>
        <w:pStyle w:val="Paragraphedeliste"/>
        <w:numPr>
          <w:ilvl w:val="0"/>
          <w:numId w:val="11"/>
        </w:numPr>
        <w:rPr>
          <w:rFonts w:eastAsia="Times New Roman" w:cs="Calibri"/>
          <w:kern w:val="2"/>
          <w:szCs w:val="22"/>
          <w:lang w:eastAsia="en-GB"/>
          <w14:ligatures w14:val="standardContextual"/>
        </w:rPr>
      </w:pPr>
      <w:r w:rsidRPr="004A7E5E">
        <w:rPr>
          <w:rFonts w:eastAsia="Calibri" w:cs="Times New Roman"/>
          <w:b/>
          <w:szCs w:val="22"/>
        </w:rPr>
        <w:t>Regulatory Adjustments Needed</w:t>
      </w:r>
      <w:r w:rsidR="00C84491">
        <w:rPr>
          <w:rFonts w:eastAsia="Calibri" w:cs="Times New Roman"/>
          <w:b/>
          <w:szCs w:val="22"/>
        </w:rPr>
        <w:br/>
      </w:r>
      <w:r w:rsidRPr="004A7E5E">
        <w:rPr>
          <w:rFonts w:eastAsia="Calibri" w:cs="Times New Roman"/>
          <w:szCs w:val="22"/>
        </w:rPr>
        <w:t xml:space="preserve">As a prerequisite for any scheme involving NB personnel in expert panels, existing policies and procedures of the Commission and EMA would need to be revised to reflect the impartial and independently supervised nature of NBs, such as EC Decision 2019/1396, Art. 12 (2): “Advisor shall not have financial or other interests in the medical device industry or in a notified body […]”). </w:t>
      </w:r>
    </w:p>
    <w:p w14:paraId="5B2A315F" w14:textId="76C630A4" w:rsidR="00680C3E" w:rsidRPr="004A7E5E" w:rsidRDefault="00680C3E" w:rsidP="0024535D">
      <w:pPr>
        <w:rPr>
          <w:rFonts w:eastAsia="Times New Roman" w:cs="Calibri"/>
          <w:iCs w:val="0"/>
          <w:kern w:val="2"/>
          <w:szCs w:val="22"/>
          <w:lang w:eastAsia="en-GB"/>
          <w14:ligatures w14:val="standardContextual"/>
        </w:rPr>
      </w:pPr>
      <w:r w:rsidRPr="004A7E5E">
        <w:rPr>
          <w:lang w:eastAsia="en-GB"/>
        </w:rPr>
        <w:t>Please be referred to Figure 1 for schematic reflection of the process</w:t>
      </w:r>
    </w:p>
    <w:p w14:paraId="452EE696" w14:textId="55DF9EB1" w:rsidR="00680C3E" w:rsidRPr="0024535D" w:rsidRDefault="00680C3E" w:rsidP="0024535D">
      <w:pPr>
        <w:rPr>
          <w:rFonts w:eastAsia="Times New Roman" w:cs="Calibri"/>
          <w:iCs w:val="0"/>
          <w:kern w:val="2"/>
          <w:sz w:val="18"/>
          <w:lang w:eastAsia="en-GB"/>
          <w14:ligatures w14:val="standardContextual"/>
        </w:rPr>
      </w:pPr>
      <w:r w:rsidRPr="0024535D">
        <w:rPr>
          <w:i/>
          <w:iCs w:val="0"/>
          <w:sz w:val="18"/>
          <w:szCs w:val="14"/>
        </w:rPr>
        <w:t>Fig 1. Overview of NB experts’ route for appointment into Expert Panels</w:t>
      </w:r>
    </w:p>
    <w:p w14:paraId="3350F284" w14:textId="77777777" w:rsidR="00680C3E" w:rsidRPr="004A7E5E" w:rsidRDefault="00680C3E" w:rsidP="00680C3E">
      <w:pPr>
        <w:spacing w:after="0" w:line="256" w:lineRule="auto"/>
        <w:rPr>
          <w:rFonts w:eastAsia="Times New Roman" w:cs="Calibri"/>
          <w:iCs w:val="0"/>
          <w:kern w:val="2"/>
          <w:szCs w:val="22"/>
          <w:lang w:eastAsia="en-GB"/>
          <w14:ligatures w14:val="standardContextual"/>
        </w:rPr>
      </w:pPr>
      <w:r w:rsidRPr="004A7E5E">
        <w:rPr>
          <w:rFonts w:eastAsia="Calibri" w:cs="Times New Roman"/>
          <w:noProof/>
          <w:szCs w:val="22"/>
        </w:rPr>
        <w:lastRenderedPageBreak/>
        <w:drawing>
          <wp:inline distT="0" distB="0" distL="0" distR="0" wp14:anchorId="773BF284" wp14:editId="51D3BA66">
            <wp:extent cx="5756275" cy="1496060"/>
            <wp:effectExtent l="19050" t="19050" r="15875" b="27940"/>
            <wp:docPr id="4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6275" cy="1496060"/>
                    </a:xfrm>
                    <a:prstGeom prst="rect">
                      <a:avLst/>
                    </a:prstGeom>
                    <a:noFill/>
                    <a:ln w="6350" cmpd="sng">
                      <a:solidFill>
                        <a:srgbClr val="000000"/>
                      </a:solidFill>
                      <a:miter lim="800000"/>
                      <a:headEnd/>
                      <a:tailEnd/>
                    </a:ln>
                    <a:effectLst/>
                  </pic:spPr>
                </pic:pic>
              </a:graphicData>
            </a:graphic>
          </wp:inline>
        </w:drawing>
      </w:r>
    </w:p>
    <w:p w14:paraId="43748C9E" w14:textId="77777777" w:rsidR="00680C3E" w:rsidRPr="004A7E5E" w:rsidRDefault="00680C3E" w:rsidP="00680C3E">
      <w:pPr>
        <w:spacing w:after="0" w:line="256" w:lineRule="auto"/>
        <w:rPr>
          <w:rFonts w:eastAsia="Times New Roman" w:cs="Calibri"/>
          <w:b/>
          <w:bCs/>
          <w:iCs w:val="0"/>
          <w:kern w:val="2"/>
          <w:szCs w:val="22"/>
          <w:lang w:eastAsia="en-GB"/>
          <w14:ligatures w14:val="standardContextual"/>
        </w:rPr>
      </w:pPr>
    </w:p>
    <w:p w14:paraId="69435AFE" w14:textId="015ABE11" w:rsidR="00680C3E" w:rsidRPr="0024535D" w:rsidRDefault="009A3523" w:rsidP="0024535D">
      <w:pPr>
        <w:spacing w:after="0"/>
        <w:rPr>
          <w:b/>
          <w:bCs/>
          <w:lang w:eastAsia="en-GB"/>
        </w:rPr>
      </w:pPr>
      <w:r>
        <w:rPr>
          <w:b/>
          <w:bCs/>
          <w:lang w:eastAsia="en-GB"/>
        </w:rPr>
        <w:t>Team</w:t>
      </w:r>
      <w:r w:rsidR="00D8774F">
        <w:rPr>
          <w:b/>
          <w:bCs/>
          <w:lang w:eastAsia="en-GB"/>
        </w:rPr>
        <w:t>-</w:t>
      </w:r>
      <w:r>
        <w:rPr>
          <w:b/>
          <w:bCs/>
          <w:lang w:eastAsia="en-GB"/>
        </w:rPr>
        <w:t>NB draft text (</w:t>
      </w:r>
      <w:r w:rsidR="00680C3E" w:rsidRPr="0024535D">
        <w:rPr>
          <w:b/>
          <w:bCs/>
          <w:lang w:eastAsia="en-GB"/>
        </w:rPr>
        <w:t>Article 106(2) (MDR only)</w:t>
      </w:r>
      <w:r>
        <w:rPr>
          <w:b/>
          <w:bCs/>
          <w:lang w:eastAsia="en-GB"/>
        </w:rPr>
        <w:t>)</w:t>
      </w:r>
      <w:r w:rsidR="00680C3E" w:rsidRPr="0024535D">
        <w:rPr>
          <w:b/>
          <w:bCs/>
          <w:lang w:eastAsia="en-GB"/>
        </w:rPr>
        <w:t>:</w:t>
      </w:r>
    </w:p>
    <w:p w14:paraId="5806BB0F" w14:textId="1D731AF9" w:rsidR="00680C3E" w:rsidRPr="0024535D" w:rsidRDefault="00680C3E" w:rsidP="0024535D">
      <w:pPr>
        <w:spacing w:after="0"/>
        <w:rPr>
          <w:i/>
          <w:iCs w:val="0"/>
          <w:lang w:eastAsia="en-GB"/>
        </w:rPr>
      </w:pPr>
      <w:r w:rsidRPr="0024535D">
        <w:rPr>
          <w:i/>
          <w:iCs w:val="0"/>
          <w:lang w:eastAsia="en-GB"/>
        </w:rPr>
        <w:t xml:space="preserve">“Expert panels may include personnel from notified bodies, appointed as individual experts. Such experts shall comply with the applicable independence and impartiality requirements, including recusal from any procedure directly related to an opinion to which they have contributed and from expert panel activities concerning devices assessed or to be assessed by their notified body. These limitations apply solely to the individual expert and shall not restrict the notified body from conducting conformity assessment through other qualified personnel. All notified body experts shall be subject to the transparency rules applicable to expert panel </w:t>
      </w:r>
      <w:r w:rsidRPr="009216E7">
        <w:rPr>
          <w:i/>
          <w:iCs w:val="0"/>
          <w:lang w:eastAsia="en-GB"/>
        </w:rPr>
        <w:t>members.”</w:t>
      </w:r>
      <w:r w:rsidR="00917E01" w:rsidRPr="009216E7">
        <w:t xml:space="preserve"> </w:t>
      </w:r>
      <w:r w:rsidR="00917E01" w:rsidRPr="009216E7">
        <w:rPr>
          <w:i/>
          <w:iCs w:val="0"/>
          <w:lang w:eastAsia="en-GB"/>
        </w:rPr>
        <w:t>(see Table, Ref. no. 39)</w:t>
      </w:r>
    </w:p>
    <w:p w14:paraId="154300CC" w14:textId="77777777" w:rsidR="00680C3E" w:rsidRPr="004A7E5E" w:rsidRDefault="00680C3E" w:rsidP="00680C3E">
      <w:pPr>
        <w:spacing w:line="256" w:lineRule="auto"/>
        <w:rPr>
          <w:rFonts w:eastAsia="Times New Roman" w:cs="Calibri"/>
          <w:i/>
          <w:kern w:val="2"/>
          <w:szCs w:val="22"/>
          <w:lang w:eastAsia="en-GB"/>
          <w14:ligatures w14:val="standardContextual"/>
        </w:rPr>
      </w:pPr>
    </w:p>
    <w:p w14:paraId="46825D7D" w14:textId="77777777" w:rsidR="00680C3E" w:rsidRPr="004A7E5E" w:rsidRDefault="00680C3E" w:rsidP="0024535D">
      <w:pPr>
        <w:pStyle w:val="Titre2"/>
      </w:pPr>
      <w:bookmarkStart w:id="144" w:name="_Toc225110538"/>
      <w:bookmarkStart w:id="145" w:name="_Toc226533686"/>
      <w:r w:rsidRPr="004A7E5E">
        <w:t xml:space="preserve">Standing expert panels for </w:t>
      </w:r>
      <w:proofErr w:type="spellStart"/>
      <w:r w:rsidRPr="004A7E5E">
        <w:t>BtX</w:t>
      </w:r>
      <w:proofErr w:type="spellEnd"/>
      <w:r w:rsidRPr="004A7E5E">
        <w:t>, Orphan, and Borderline &amp; Classification Functions</w:t>
      </w:r>
      <w:bookmarkEnd w:id="144"/>
      <w:bookmarkEnd w:id="145"/>
    </w:p>
    <w:p w14:paraId="2224E0C5" w14:textId="77777777" w:rsidR="00680C3E" w:rsidRPr="0024535D" w:rsidRDefault="00680C3E" w:rsidP="00680C3E">
      <w:pPr>
        <w:keepNext/>
        <w:keepLines/>
        <w:spacing w:before="40" w:after="0" w:line="256" w:lineRule="auto"/>
        <w:outlineLvl w:val="3"/>
        <w:rPr>
          <w:rStyle w:val="Accentuationintense"/>
        </w:rPr>
      </w:pPr>
      <w:r w:rsidRPr="0024535D">
        <w:rPr>
          <w:rStyle w:val="Accentuationintense"/>
        </w:rPr>
        <w:t>Borderline &amp; Classification Standing Expert Panel (Articles 4a, 51a, 51b MDR) (3a, 47a, 47b IVDR)</w:t>
      </w:r>
    </w:p>
    <w:p w14:paraId="7BCFB836" w14:textId="77777777" w:rsidR="00680C3E" w:rsidRPr="004A7E5E" w:rsidRDefault="00680C3E" w:rsidP="0024535D">
      <w:pPr>
        <w:rPr>
          <w:lang w:eastAsia="en-GB"/>
        </w:rPr>
      </w:pPr>
      <w:r w:rsidRPr="004A7E5E">
        <w:rPr>
          <w:lang w:eastAsia="en-GB"/>
        </w:rPr>
        <w:t xml:space="preserve">The new </w:t>
      </w:r>
      <w:r w:rsidRPr="004A7E5E">
        <w:rPr>
          <w:b/>
          <w:bCs/>
          <w:lang w:eastAsia="en-GB"/>
        </w:rPr>
        <w:t>Article</w:t>
      </w:r>
      <w:r w:rsidRPr="004A7E5E">
        <w:rPr>
          <w:rFonts w:ascii="Arial" w:hAnsi="Arial" w:cs="Arial"/>
          <w:b/>
          <w:bCs/>
          <w:lang w:eastAsia="en-GB"/>
        </w:rPr>
        <w:t> </w:t>
      </w:r>
      <w:r w:rsidRPr="004A7E5E">
        <w:rPr>
          <w:b/>
          <w:bCs/>
          <w:lang w:eastAsia="en-GB"/>
        </w:rPr>
        <w:t>4a MDR (3a IVDR)</w:t>
      </w:r>
      <w:r w:rsidRPr="004A7E5E">
        <w:rPr>
          <w:lang w:eastAsia="en-GB"/>
        </w:rPr>
        <w:t xml:space="preserve"> establishes a formal pathway for determining whether a product or group of products falls within the definition of a medical device or accessory, or within the scope of Annex</w:t>
      </w:r>
      <w:r w:rsidRPr="004A7E5E">
        <w:rPr>
          <w:rFonts w:ascii="Arial" w:hAnsi="Arial" w:cs="Arial"/>
          <w:lang w:eastAsia="en-GB"/>
        </w:rPr>
        <w:t> </w:t>
      </w:r>
      <w:r w:rsidRPr="004A7E5E">
        <w:rPr>
          <w:lang w:eastAsia="en-GB"/>
        </w:rPr>
        <w:t xml:space="preserve">XVI. As per paragraphs 1 and 2, Expert Panel opinions issued under </w:t>
      </w:r>
      <w:r w:rsidRPr="004A7E5E">
        <w:rPr>
          <w:b/>
          <w:bCs/>
          <w:lang w:eastAsia="en-GB"/>
        </w:rPr>
        <w:t>Article</w:t>
      </w:r>
      <w:r w:rsidRPr="004A7E5E">
        <w:rPr>
          <w:rFonts w:ascii="Arial" w:hAnsi="Arial" w:cs="Arial"/>
          <w:b/>
          <w:bCs/>
          <w:lang w:eastAsia="en-GB"/>
        </w:rPr>
        <w:t> </w:t>
      </w:r>
      <w:r w:rsidRPr="004A7E5E">
        <w:rPr>
          <w:b/>
          <w:bCs/>
          <w:lang w:eastAsia="en-GB"/>
        </w:rPr>
        <w:t>106</w:t>
      </w:r>
      <w:r w:rsidRPr="004A7E5E">
        <w:rPr>
          <w:lang w:eastAsia="en-GB"/>
        </w:rPr>
        <w:t xml:space="preserve"> form the scientific basis for subsequent regulatory determinations.</w:t>
      </w:r>
    </w:p>
    <w:p w14:paraId="6ADAD6DE" w14:textId="77777777" w:rsidR="00680C3E" w:rsidRPr="004A7E5E" w:rsidRDefault="00680C3E" w:rsidP="0024535D">
      <w:pPr>
        <w:rPr>
          <w:rFonts w:eastAsia="Calibri" w:cs="Calibri"/>
          <w:szCs w:val="22"/>
        </w:rPr>
      </w:pPr>
      <w:r w:rsidRPr="004A7E5E">
        <w:rPr>
          <w:rFonts w:eastAsia="Calibri" w:cs="Calibri"/>
          <w:szCs w:val="22"/>
        </w:rPr>
        <w:t xml:space="preserve">Proposed articles </w:t>
      </w:r>
      <w:r w:rsidRPr="004A7E5E">
        <w:rPr>
          <w:rFonts w:eastAsia="Times New Roman" w:cs="Calibri"/>
          <w:b/>
          <w:szCs w:val="22"/>
        </w:rPr>
        <w:t>51a and 51b MDR (47a and 47b IVDR)</w:t>
      </w:r>
      <w:r w:rsidRPr="004A7E5E">
        <w:rPr>
          <w:rFonts w:eastAsia="Calibri" w:cs="Calibri"/>
          <w:szCs w:val="22"/>
        </w:rPr>
        <w:t xml:space="preserve"> introduce an additional pathway for resolving disputes and challenges related to the </w:t>
      </w:r>
      <w:r w:rsidRPr="004A7E5E">
        <w:rPr>
          <w:rFonts w:eastAsia="Times New Roman" w:cs="Calibri"/>
          <w:b/>
          <w:szCs w:val="22"/>
        </w:rPr>
        <w:t>classification of CE</w:t>
      </w:r>
      <w:r w:rsidRPr="004A7E5E">
        <w:rPr>
          <w:rFonts w:eastAsia="Times New Roman" w:cs="Calibri"/>
          <w:b/>
          <w:szCs w:val="22"/>
        </w:rPr>
        <w:noBreakHyphen/>
        <w:t>marked devices</w:t>
      </w:r>
      <w:r w:rsidRPr="004A7E5E">
        <w:rPr>
          <w:rFonts w:eastAsia="Calibri" w:cs="Calibri"/>
          <w:szCs w:val="22"/>
        </w:rPr>
        <w:t>, including:</w:t>
      </w:r>
    </w:p>
    <w:p w14:paraId="6871E82D" w14:textId="77777777" w:rsidR="00680C3E" w:rsidRPr="004A7E5E" w:rsidRDefault="00680C3E" w:rsidP="00700B94">
      <w:pPr>
        <w:pStyle w:val="Paragraphedeliste"/>
        <w:numPr>
          <w:ilvl w:val="0"/>
          <w:numId w:val="12"/>
        </w:numPr>
        <w:rPr>
          <w:rFonts w:eastAsia="Calibri" w:cs="Calibri"/>
          <w:szCs w:val="22"/>
        </w:rPr>
      </w:pPr>
      <w:r w:rsidRPr="004A7E5E">
        <w:rPr>
          <w:rFonts w:eastAsia="Calibri" w:cs="Calibri"/>
          <w:szCs w:val="22"/>
        </w:rPr>
        <w:t xml:space="preserve">identification of potential misclassification following an evaluation under </w:t>
      </w:r>
      <w:r w:rsidRPr="004A7E5E">
        <w:rPr>
          <w:rFonts w:eastAsia="Times New Roman" w:cs="Calibri"/>
          <w:b/>
          <w:szCs w:val="22"/>
        </w:rPr>
        <w:t>Article</w:t>
      </w:r>
      <w:r w:rsidRPr="004A7E5E">
        <w:rPr>
          <w:rFonts w:ascii="Arial" w:eastAsia="Times New Roman" w:hAnsi="Arial" w:cs="Arial"/>
          <w:b/>
          <w:szCs w:val="22"/>
        </w:rPr>
        <w:t> </w:t>
      </w:r>
      <w:r w:rsidRPr="004A7E5E">
        <w:rPr>
          <w:rFonts w:eastAsia="Times New Roman" w:cs="Calibri"/>
          <w:b/>
          <w:szCs w:val="22"/>
        </w:rPr>
        <w:t>94 MDR (89 IVDR)</w:t>
      </w:r>
      <w:r w:rsidRPr="004A7E5E">
        <w:rPr>
          <w:rFonts w:eastAsia="Calibri" w:cs="Calibri"/>
          <w:szCs w:val="22"/>
        </w:rPr>
        <w:t>;</w:t>
      </w:r>
    </w:p>
    <w:p w14:paraId="74E4E4FB" w14:textId="77777777" w:rsidR="00680C3E" w:rsidRPr="004A7E5E" w:rsidRDefault="00680C3E" w:rsidP="00700B94">
      <w:pPr>
        <w:pStyle w:val="Paragraphedeliste"/>
        <w:numPr>
          <w:ilvl w:val="0"/>
          <w:numId w:val="12"/>
        </w:numPr>
        <w:rPr>
          <w:rFonts w:eastAsia="Calibri" w:cs="Calibri"/>
          <w:szCs w:val="22"/>
        </w:rPr>
      </w:pPr>
      <w:r w:rsidRPr="004A7E5E">
        <w:rPr>
          <w:rFonts w:eastAsia="Calibri" w:cs="Calibri"/>
          <w:szCs w:val="22"/>
        </w:rPr>
        <w:t xml:space="preserve">mandatory coordination and consultation among Member States </w:t>
      </w:r>
      <w:r w:rsidRPr="004A7E5E">
        <w:rPr>
          <w:rFonts w:eastAsia="Calibri" w:cs="Calibri"/>
          <w:b/>
          <w:szCs w:val="22"/>
        </w:rPr>
        <w:t>(</w:t>
      </w:r>
      <w:r w:rsidRPr="004A7E5E">
        <w:rPr>
          <w:rFonts w:eastAsia="Times New Roman" w:cs="Calibri"/>
          <w:b/>
          <w:szCs w:val="22"/>
        </w:rPr>
        <w:t>Art</w:t>
      </w:r>
      <w:r w:rsidRPr="004A7E5E">
        <w:rPr>
          <w:rFonts w:ascii="Arial" w:eastAsia="Times New Roman" w:hAnsi="Arial" w:cs="Arial"/>
          <w:b/>
          <w:szCs w:val="22"/>
        </w:rPr>
        <w:t> </w:t>
      </w:r>
      <w:r w:rsidRPr="004A7E5E">
        <w:rPr>
          <w:rFonts w:eastAsia="Times New Roman" w:cs="Calibri"/>
          <w:b/>
          <w:szCs w:val="22"/>
        </w:rPr>
        <w:t>51b(1)</w:t>
      </w:r>
      <w:r w:rsidRPr="004A7E5E">
        <w:rPr>
          <w:rFonts w:eastAsia="Times New Roman" w:cs="Aptos"/>
          <w:b/>
          <w:szCs w:val="22"/>
        </w:rPr>
        <w:t>–</w:t>
      </w:r>
      <w:r w:rsidRPr="004A7E5E">
        <w:rPr>
          <w:rFonts w:eastAsia="Times New Roman" w:cs="Calibri"/>
          <w:b/>
          <w:szCs w:val="22"/>
        </w:rPr>
        <w:t>(2) MDR</w:t>
      </w:r>
      <w:r w:rsidRPr="004A7E5E">
        <w:rPr>
          <w:rFonts w:eastAsia="Calibri" w:cs="Calibri"/>
          <w:b/>
          <w:szCs w:val="22"/>
        </w:rPr>
        <w:t>) (47b(1)-(2) IVDR)</w:t>
      </w:r>
      <w:r w:rsidRPr="004A7E5E">
        <w:rPr>
          <w:rFonts w:eastAsia="Calibri" w:cs="Calibri"/>
          <w:szCs w:val="22"/>
        </w:rPr>
        <w:t>;</w:t>
      </w:r>
    </w:p>
    <w:p w14:paraId="0C315AD6" w14:textId="77777777" w:rsidR="00680C3E" w:rsidRPr="004A7E5E" w:rsidRDefault="00680C3E" w:rsidP="00700B94">
      <w:pPr>
        <w:pStyle w:val="Paragraphedeliste"/>
        <w:numPr>
          <w:ilvl w:val="0"/>
          <w:numId w:val="12"/>
        </w:numPr>
        <w:rPr>
          <w:rFonts w:eastAsia="Calibri" w:cs="Calibri"/>
          <w:szCs w:val="22"/>
        </w:rPr>
      </w:pPr>
      <w:r w:rsidRPr="004A7E5E">
        <w:rPr>
          <w:rFonts w:eastAsia="Calibri" w:cs="Calibri"/>
          <w:szCs w:val="22"/>
        </w:rPr>
        <w:t xml:space="preserve">referral to an Expert Panel under </w:t>
      </w:r>
      <w:r w:rsidRPr="004A7E5E">
        <w:rPr>
          <w:rFonts w:eastAsia="Times New Roman" w:cs="Calibri"/>
          <w:b/>
          <w:szCs w:val="22"/>
        </w:rPr>
        <w:t>Art</w:t>
      </w:r>
      <w:r w:rsidRPr="004A7E5E">
        <w:rPr>
          <w:rFonts w:ascii="Arial" w:eastAsia="Times New Roman" w:hAnsi="Arial" w:cs="Arial"/>
          <w:b/>
          <w:szCs w:val="22"/>
        </w:rPr>
        <w:t> </w:t>
      </w:r>
      <w:r w:rsidRPr="004A7E5E">
        <w:rPr>
          <w:rFonts w:eastAsia="Times New Roman" w:cs="Calibri"/>
          <w:b/>
          <w:szCs w:val="22"/>
        </w:rPr>
        <w:t>51b(3) (47b(3) IVDR)</w:t>
      </w:r>
      <w:r w:rsidRPr="004A7E5E">
        <w:rPr>
          <w:rFonts w:eastAsia="Calibri" w:cs="Calibri"/>
          <w:szCs w:val="22"/>
        </w:rPr>
        <w:t xml:space="preserve"> where a substantiated disagreement is raised;</w:t>
      </w:r>
    </w:p>
    <w:p w14:paraId="5C767BB6" w14:textId="77777777" w:rsidR="00680C3E" w:rsidRDefault="00680C3E" w:rsidP="00700B94">
      <w:pPr>
        <w:pStyle w:val="Paragraphedeliste"/>
        <w:numPr>
          <w:ilvl w:val="0"/>
          <w:numId w:val="12"/>
        </w:numPr>
        <w:rPr>
          <w:rFonts w:eastAsia="Calibri" w:cs="Calibri"/>
          <w:szCs w:val="22"/>
        </w:rPr>
      </w:pPr>
      <w:r w:rsidRPr="004A7E5E">
        <w:rPr>
          <w:rFonts w:eastAsia="Calibri" w:cs="Calibri"/>
          <w:szCs w:val="22"/>
        </w:rPr>
        <w:t xml:space="preserve">adoption of the Member State decision giving </w:t>
      </w:r>
      <w:r w:rsidRPr="004A7E5E">
        <w:rPr>
          <w:rFonts w:eastAsia="Times New Roman" w:cs="Calibri"/>
          <w:b/>
          <w:szCs w:val="22"/>
        </w:rPr>
        <w:t>utmost consideration</w:t>
      </w:r>
      <w:r w:rsidRPr="004A7E5E">
        <w:rPr>
          <w:rFonts w:eastAsia="Calibri" w:cs="Calibri"/>
          <w:szCs w:val="22"/>
        </w:rPr>
        <w:t xml:space="preserve"> to the Panel opinion (</w:t>
      </w:r>
      <w:r w:rsidRPr="004A7E5E">
        <w:rPr>
          <w:rFonts w:eastAsia="Times New Roman" w:cs="Calibri"/>
          <w:b/>
          <w:szCs w:val="22"/>
        </w:rPr>
        <w:t>Art</w:t>
      </w:r>
      <w:r w:rsidRPr="004A7E5E">
        <w:rPr>
          <w:rFonts w:ascii="Arial" w:eastAsia="Times New Roman" w:hAnsi="Arial" w:cs="Arial"/>
          <w:b/>
          <w:szCs w:val="22"/>
        </w:rPr>
        <w:t> </w:t>
      </w:r>
      <w:r w:rsidRPr="004A7E5E">
        <w:rPr>
          <w:rFonts w:eastAsia="Times New Roman" w:cs="Calibri"/>
          <w:b/>
          <w:szCs w:val="22"/>
        </w:rPr>
        <w:t>51b(4)</w:t>
      </w:r>
      <w:r w:rsidRPr="004A7E5E">
        <w:rPr>
          <w:rFonts w:eastAsia="Calibri" w:cs="Calibri"/>
          <w:b/>
          <w:szCs w:val="22"/>
        </w:rPr>
        <w:t>) (47b(4) IVDR)</w:t>
      </w:r>
      <w:r w:rsidRPr="004A7E5E">
        <w:rPr>
          <w:rFonts w:eastAsia="Calibri" w:cs="Calibri"/>
          <w:szCs w:val="22"/>
        </w:rPr>
        <w:t>.</w:t>
      </w:r>
    </w:p>
    <w:p w14:paraId="5CBF05F0" w14:textId="2EE83B34" w:rsidR="008D38E2" w:rsidRDefault="00684425" w:rsidP="0024535D">
      <w:pPr>
        <w:rPr>
          <w:rFonts w:eastAsia="Calibri" w:cs="Calibri"/>
          <w:szCs w:val="22"/>
        </w:rPr>
      </w:pPr>
      <w:r>
        <w:rPr>
          <w:rFonts w:eastAsia="Calibri" w:cs="Calibri"/>
          <w:szCs w:val="22"/>
        </w:rPr>
        <w:t>Additional ta</w:t>
      </w:r>
      <w:r w:rsidR="008D38E2">
        <w:rPr>
          <w:rFonts w:eastAsia="Calibri" w:cs="Calibri"/>
          <w:szCs w:val="22"/>
        </w:rPr>
        <w:t>sk</w:t>
      </w:r>
      <w:r w:rsidR="00564B04">
        <w:rPr>
          <w:rFonts w:eastAsia="Calibri" w:cs="Calibri"/>
          <w:szCs w:val="22"/>
        </w:rPr>
        <w:t xml:space="preserve"> for</w:t>
      </w:r>
      <w:r w:rsidR="00CA1B45">
        <w:rPr>
          <w:rFonts w:eastAsia="Calibri" w:cs="Calibri"/>
          <w:szCs w:val="22"/>
        </w:rPr>
        <w:t xml:space="preserve"> borderline and classification</w:t>
      </w:r>
      <w:r w:rsidR="008D38E2">
        <w:rPr>
          <w:rFonts w:eastAsia="Calibri" w:cs="Calibri"/>
          <w:szCs w:val="22"/>
        </w:rPr>
        <w:t xml:space="preserve"> could be:</w:t>
      </w:r>
    </w:p>
    <w:p w14:paraId="48255148" w14:textId="0C81B0AD" w:rsidR="00680C3E" w:rsidRPr="008D38E2" w:rsidRDefault="00D274A7" w:rsidP="00700B94">
      <w:pPr>
        <w:pStyle w:val="Paragraphedeliste"/>
        <w:numPr>
          <w:ilvl w:val="0"/>
          <w:numId w:val="50"/>
        </w:numPr>
        <w:rPr>
          <w:rFonts w:eastAsia="Calibri" w:cs="Calibri"/>
          <w:szCs w:val="22"/>
        </w:rPr>
      </w:pPr>
      <w:r w:rsidRPr="008D38E2">
        <w:rPr>
          <w:rFonts w:eastAsia="Calibri" w:cs="Calibri"/>
          <w:szCs w:val="22"/>
        </w:rPr>
        <w:t>Providing feedback to update MDCG classification guidance documents (e.g.</w:t>
      </w:r>
      <w:r w:rsidR="00297076">
        <w:rPr>
          <w:rFonts w:eastAsia="Calibri" w:cs="Calibri"/>
          <w:szCs w:val="22"/>
        </w:rPr>
        <w:t>,</w:t>
      </w:r>
      <w:r w:rsidRPr="008D38E2">
        <w:rPr>
          <w:rFonts w:eastAsia="Calibri" w:cs="Calibri"/>
          <w:szCs w:val="22"/>
        </w:rPr>
        <w:t xml:space="preserve"> Manual on Borderline and classification under EU 2017/756 and 2017/746, MDCG 2021-24 and MDCG 2020-16)</w:t>
      </w:r>
      <w:r w:rsidR="006E3D12">
        <w:rPr>
          <w:rFonts w:eastAsia="Calibri" w:cs="Calibri"/>
          <w:szCs w:val="22"/>
        </w:rPr>
        <w:t xml:space="preserve">. </w:t>
      </w:r>
      <w:r w:rsidR="00680C3E" w:rsidRPr="008D38E2">
        <w:rPr>
          <w:rFonts w:eastAsia="Calibri" w:cs="Calibri"/>
          <w:szCs w:val="22"/>
        </w:rPr>
        <w:t>Given these responsibilities, the B&amp;C Standing Expert Panel must operate under the full governance framework of</w:t>
      </w:r>
      <w:r w:rsidR="00680C3E" w:rsidRPr="008D38E2">
        <w:rPr>
          <w:rFonts w:eastAsia="Calibri" w:cs="Calibri"/>
          <w:b/>
          <w:szCs w:val="22"/>
        </w:rPr>
        <w:t xml:space="preserve"> proposed MDR </w:t>
      </w:r>
      <w:r w:rsidR="00680C3E" w:rsidRPr="008D38E2">
        <w:rPr>
          <w:rFonts w:eastAsia="Times New Roman" w:cs="Calibri"/>
          <w:b/>
          <w:szCs w:val="22"/>
        </w:rPr>
        <w:t>Article</w:t>
      </w:r>
      <w:r w:rsidR="00680C3E" w:rsidRPr="008D38E2">
        <w:rPr>
          <w:rFonts w:ascii="Arial" w:eastAsia="Times New Roman" w:hAnsi="Arial" w:cs="Arial"/>
          <w:b/>
          <w:szCs w:val="22"/>
        </w:rPr>
        <w:t> </w:t>
      </w:r>
      <w:r w:rsidR="00680C3E" w:rsidRPr="008D38E2">
        <w:rPr>
          <w:rFonts w:eastAsia="Times New Roman" w:cs="Calibri"/>
          <w:b/>
          <w:szCs w:val="22"/>
        </w:rPr>
        <w:t>106</w:t>
      </w:r>
      <w:r w:rsidR="00680C3E" w:rsidRPr="008D38E2">
        <w:rPr>
          <w:rFonts w:eastAsia="Calibri" w:cs="Calibri"/>
          <w:szCs w:val="22"/>
        </w:rPr>
        <w:t xml:space="preserve">. </w:t>
      </w:r>
    </w:p>
    <w:p w14:paraId="17B5A58F" w14:textId="7B93481A" w:rsidR="00680C3E" w:rsidRPr="004A7E5E" w:rsidRDefault="00680C3E" w:rsidP="0024535D">
      <w:pPr>
        <w:rPr>
          <w:rFonts w:eastAsia="Calibri" w:cs="Calibri"/>
          <w:szCs w:val="22"/>
        </w:rPr>
      </w:pPr>
      <w:r w:rsidRPr="004A7E5E">
        <w:rPr>
          <w:rFonts w:eastAsia="Calibri" w:cs="Calibri"/>
          <w:szCs w:val="22"/>
        </w:rPr>
        <w:t xml:space="preserve">Because borderline/classification work requires broad regulatory judgement, the NB experts contributing to the B&amp;C Standing Panel should be </w:t>
      </w:r>
      <w:r w:rsidRPr="004A7E5E">
        <w:rPr>
          <w:rFonts w:eastAsia="Times New Roman" w:cs="Calibri"/>
          <w:b/>
          <w:szCs w:val="22"/>
        </w:rPr>
        <w:t>seasoned generalists with long</w:t>
      </w:r>
      <w:r w:rsidRPr="004A7E5E">
        <w:rPr>
          <w:rFonts w:eastAsia="Times New Roman" w:cs="Calibri"/>
          <w:b/>
          <w:szCs w:val="22"/>
        </w:rPr>
        <w:noBreakHyphen/>
        <w:t xml:space="preserve">standing </w:t>
      </w:r>
      <w:r w:rsidRPr="004A7E5E">
        <w:rPr>
          <w:rFonts w:eastAsia="Times New Roman" w:cs="Calibri"/>
          <w:b/>
          <w:szCs w:val="22"/>
        </w:rPr>
        <w:lastRenderedPageBreak/>
        <w:t>cross</w:t>
      </w:r>
      <w:r w:rsidRPr="004A7E5E">
        <w:rPr>
          <w:rFonts w:eastAsia="Times New Roman" w:cs="Calibri"/>
          <w:b/>
          <w:szCs w:val="22"/>
        </w:rPr>
        <w:noBreakHyphen/>
        <w:t>cutting experience</w:t>
      </w:r>
      <w:r w:rsidRPr="004A7E5E">
        <w:rPr>
          <w:rFonts w:eastAsia="Calibri" w:cs="Calibri"/>
          <w:szCs w:val="22"/>
        </w:rPr>
        <w:t xml:space="preserve"> (“eminences </w:t>
      </w:r>
      <w:proofErr w:type="spellStart"/>
      <w:r w:rsidRPr="004A7E5E">
        <w:rPr>
          <w:rFonts w:eastAsia="Calibri" w:cs="Calibri"/>
          <w:szCs w:val="22"/>
        </w:rPr>
        <w:t>grises</w:t>
      </w:r>
      <w:proofErr w:type="spellEnd"/>
      <w:r w:rsidRPr="004A7E5E">
        <w:rPr>
          <w:rFonts w:eastAsia="Calibri" w:cs="Calibri"/>
          <w:szCs w:val="22"/>
        </w:rPr>
        <w:t>”), distinct from the technology</w:t>
      </w:r>
      <w:r w:rsidRPr="004A7E5E">
        <w:rPr>
          <w:rFonts w:eastAsia="Calibri" w:cs="Calibri"/>
          <w:szCs w:val="22"/>
        </w:rPr>
        <w:noBreakHyphen/>
        <w:t>specific experts used in thematic clinical or technical panels.</w:t>
      </w:r>
    </w:p>
    <w:p w14:paraId="2E9D223C" w14:textId="77777777" w:rsidR="00680C3E" w:rsidRPr="004A7E5E" w:rsidRDefault="00680C3E" w:rsidP="0024535D">
      <w:pPr>
        <w:rPr>
          <w:rFonts w:eastAsia="Calibri" w:cs="Calibri"/>
          <w:szCs w:val="22"/>
        </w:rPr>
      </w:pPr>
      <w:r w:rsidRPr="004A7E5E">
        <w:rPr>
          <w:rFonts w:eastAsia="Calibri" w:cs="Calibri"/>
          <w:szCs w:val="22"/>
        </w:rPr>
        <w:t>This Standing Panel ensures:</w:t>
      </w:r>
    </w:p>
    <w:p w14:paraId="5D3735FB" w14:textId="77777777" w:rsidR="00680C3E" w:rsidRPr="004A7E5E" w:rsidRDefault="00680C3E" w:rsidP="00700B94">
      <w:pPr>
        <w:pStyle w:val="Paragraphedeliste"/>
        <w:numPr>
          <w:ilvl w:val="0"/>
          <w:numId w:val="13"/>
        </w:numPr>
        <w:rPr>
          <w:rFonts w:eastAsia="Calibri" w:cs="Calibri"/>
          <w:szCs w:val="22"/>
        </w:rPr>
      </w:pPr>
      <w:r w:rsidRPr="004A7E5E">
        <w:rPr>
          <w:rFonts w:eastAsia="Calibri" w:cs="Calibri"/>
          <w:szCs w:val="22"/>
        </w:rPr>
        <w:t>consistent Union</w:t>
      </w:r>
      <w:r w:rsidRPr="004A7E5E">
        <w:rPr>
          <w:rFonts w:eastAsia="Calibri" w:cs="Calibri"/>
          <w:szCs w:val="22"/>
        </w:rPr>
        <w:noBreakHyphen/>
        <w:t>level interpretation of regulatory status and classification</w:t>
      </w:r>
    </w:p>
    <w:p w14:paraId="2A1EC463" w14:textId="77777777" w:rsidR="00680C3E" w:rsidRPr="004A7E5E" w:rsidRDefault="00680C3E" w:rsidP="00700B94">
      <w:pPr>
        <w:pStyle w:val="Paragraphedeliste"/>
        <w:numPr>
          <w:ilvl w:val="0"/>
          <w:numId w:val="13"/>
        </w:numPr>
        <w:rPr>
          <w:rFonts w:eastAsia="Calibri" w:cs="Calibri"/>
          <w:szCs w:val="22"/>
        </w:rPr>
      </w:pPr>
      <w:r w:rsidRPr="004A7E5E">
        <w:rPr>
          <w:rFonts w:eastAsia="Calibri" w:cs="Calibri"/>
          <w:szCs w:val="22"/>
        </w:rPr>
        <w:t>timely decisions in the strict deadlines under Article</w:t>
      </w:r>
      <w:r w:rsidRPr="004A7E5E">
        <w:rPr>
          <w:rFonts w:ascii="Arial" w:eastAsia="Calibri" w:hAnsi="Arial" w:cs="Arial"/>
          <w:szCs w:val="22"/>
        </w:rPr>
        <w:t> </w:t>
      </w:r>
      <w:r w:rsidRPr="004A7E5E">
        <w:rPr>
          <w:rFonts w:eastAsia="Calibri" w:cs="Calibri"/>
          <w:szCs w:val="22"/>
        </w:rPr>
        <w:t>51b(3) (47b(3) IVDR)</w:t>
      </w:r>
    </w:p>
    <w:p w14:paraId="7960DA82" w14:textId="77777777" w:rsidR="00680C3E" w:rsidRPr="004A7E5E" w:rsidRDefault="00680C3E" w:rsidP="00700B94">
      <w:pPr>
        <w:pStyle w:val="Paragraphedeliste"/>
        <w:numPr>
          <w:ilvl w:val="0"/>
          <w:numId w:val="13"/>
        </w:numPr>
        <w:rPr>
          <w:rFonts w:eastAsia="Calibri" w:cs="Calibri"/>
          <w:szCs w:val="22"/>
        </w:rPr>
      </w:pPr>
      <w:r w:rsidRPr="004A7E5E">
        <w:rPr>
          <w:rFonts w:eastAsia="Calibri" w:cs="Calibri"/>
          <w:szCs w:val="22"/>
        </w:rPr>
        <w:t>scientific robustness to support Commission implementing acts</w:t>
      </w:r>
    </w:p>
    <w:p w14:paraId="13ABB78C" w14:textId="77777777" w:rsidR="00680C3E" w:rsidRPr="004A7E5E" w:rsidRDefault="00680C3E" w:rsidP="00700B94">
      <w:pPr>
        <w:pStyle w:val="Paragraphedeliste"/>
        <w:numPr>
          <w:ilvl w:val="0"/>
          <w:numId w:val="13"/>
        </w:numPr>
        <w:rPr>
          <w:rFonts w:eastAsia="Calibri" w:cs="Calibri"/>
          <w:szCs w:val="22"/>
        </w:rPr>
      </w:pPr>
      <w:r w:rsidRPr="004A7E5E">
        <w:rPr>
          <w:rFonts w:eastAsia="Calibri" w:cs="Calibri"/>
          <w:szCs w:val="22"/>
        </w:rPr>
        <w:t>coherence between Member State practice, MDCG coordination and Expert Panel advice</w:t>
      </w:r>
    </w:p>
    <w:p w14:paraId="3DAD3553" w14:textId="5C421A4F" w:rsidR="00680C3E" w:rsidRPr="004A7E5E" w:rsidRDefault="00680C3E" w:rsidP="00680C3E">
      <w:pPr>
        <w:spacing w:after="0" w:line="256" w:lineRule="auto"/>
        <w:jc w:val="center"/>
        <w:rPr>
          <w:rFonts w:eastAsia="Calibri" w:cs="Calibri"/>
          <w:szCs w:val="22"/>
        </w:rPr>
      </w:pPr>
    </w:p>
    <w:p w14:paraId="38E38539" w14:textId="77777777" w:rsidR="00680C3E" w:rsidRPr="0024535D" w:rsidRDefault="00680C3E" w:rsidP="00680C3E">
      <w:pPr>
        <w:keepNext/>
        <w:keepLines/>
        <w:spacing w:before="40" w:after="0" w:line="256" w:lineRule="auto"/>
        <w:outlineLvl w:val="3"/>
        <w:rPr>
          <w:rStyle w:val="Accentuationintense"/>
        </w:rPr>
      </w:pPr>
      <w:r w:rsidRPr="0024535D">
        <w:rPr>
          <w:rStyle w:val="Accentuationintense"/>
        </w:rPr>
        <w:t>Standing Expert Panels for Breakthrough (</w:t>
      </w:r>
      <w:proofErr w:type="spellStart"/>
      <w:r w:rsidRPr="0024535D">
        <w:rPr>
          <w:rStyle w:val="Accentuationintense"/>
        </w:rPr>
        <w:t>BtX</w:t>
      </w:r>
      <w:proofErr w:type="spellEnd"/>
      <w:r w:rsidRPr="0024535D">
        <w:rPr>
          <w:rStyle w:val="Accentuationintense"/>
        </w:rPr>
        <w:t>) and Orphan Designations (Article 52a MDR) (48a IVDR)</w:t>
      </w:r>
    </w:p>
    <w:p w14:paraId="0B7AADE8" w14:textId="77777777" w:rsidR="00680C3E" w:rsidRPr="004A7E5E" w:rsidRDefault="00680C3E" w:rsidP="0024535D">
      <w:pPr>
        <w:rPr>
          <w:rFonts w:eastAsia="Calibri" w:cs="Calibri"/>
          <w:szCs w:val="22"/>
        </w:rPr>
      </w:pPr>
      <w:r w:rsidRPr="004A7E5E">
        <w:rPr>
          <w:rFonts w:eastAsia="Calibri" w:cs="Calibri"/>
          <w:szCs w:val="22"/>
        </w:rPr>
        <w:t xml:space="preserve">The </w:t>
      </w:r>
      <w:r w:rsidRPr="004A7E5E">
        <w:rPr>
          <w:rFonts w:eastAsia="Times New Roman" w:cs="Calibri"/>
          <w:b/>
          <w:szCs w:val="22"/>
        </w:rPr>
        <w:t>proposed MDR Article</w:t>
      </w:r>
      <w:r w:rsidRPr="004A7E5E">
        <w:rPr>
          <w:rFonts w:ascii="Arial" w:eastAsia="Times New Roman" w:hAnsi="Arial" w:cs="Arial"/>
          <w:b/>
          <w:szCs w:val="22"/>
        </w:rPr>
        <w:t> </w:t>
      </w:r>
      <w:r w:rsidRPr="004A7E5E">
        <w:rPr>
          <w:rFonts w:eastAsia="Times New Roman" w:cs="Calibri"/>
          <w:b/>
          <w:szCs w:val="22"/>
        </w:rPr>
        <w:t>52a</w:t>
      </w:r>
      <w:r w:rsidRPr="004A7E5E">
        <w:rPr>
          <w:rFonts w:eastAsia="Calibri" w:cs="Calibri"/>
          <w:szCs w:val="22"/>
        </w:rPr>
        <w:t xml:space="preserve"> and </w:t>
      </w:r>
      <w:r w:rsidRPr="004A7E5E">
        <w:rPr>
          <w:rFonts w:eastAsia="Times New Roman" w:cs="Calibri"/>
          <w:b/>
          <w:szCs w:val="22"/>
        </w:rPr>
        <w:t>proposed IVDR Article</w:t>
      </w:r>
      <w:r w:rsidRPr="004A7E5E">
        <w:rPr>
          <w:rFonts w:ascii="Arial" w:eastAsia="Times New Roman" w:hAnsi="Arial" w:cs="Arial"/>
          <w:b/>
          <w:szCs w:val="22"/>
        </w:rPr>
        <w:t> </w:t>
      </w:r>
      <w:r w:rsidRPr="004A7E5E">
        <w:rPr>
          <w:rFonts w:eastAsia="Times New Roman" w:cs="Calibri"/>
          <w:b/>
          <w:szCs w:val="22"/>
        </w:rPr>
        <w:t>48a</w:t>
      </w:r>
      <w:r w:rsidRPr="004A7E5E">
        <w:rPr>
          <w:rFonts w:eastAsia="Calibri" w:cs="Calibri"/>
          <w:szCs w:val="22"/>
        </w:rPr>
        <w:t xml:space="preserve"> introduce Union</w:t>
      </w:r>
      <w:r w:rsidRPr="004A7E5E">
        <w:rPr>
          <w:rFonts w:eastAsia="Calibri" w:cs="Calibri"/>
          <w:szCs w:val="22"/>
        </w:rPr>
        <w:noBreakHyphen/>
        <w:t>level mechanisms for the designation of:</w:t>
      </w:r>
    </w:p>
    <w:p w14:paraId="7C6E5AB8" w14:textId="77777777" w:rsidR="00680C3E" w:rsidRPr="004A7E5E" w:rsidRDefault="00680C3E" w:rsidP="00700B94">
      <w:pPr>
        <w:pStyle w:val="Paragraphedeliste"/>
        <w:numPr>
          <w:ilvl w:val="0"/>
          <w:numId w:val="14"/>
        </w:numPr>
        <w:rPr>
          <w:rFonts w:eastAsia="Calibri" w:cs="Calibri"/>
          <w:szCs w:val="22"/>
        </w:rPr>
      </w:pPr>
      <w:r w:rsidRPr="0024535D">
        <w:rPr>
          <w:b/>
          <w:bCs/>
        </w:rPr>
        <w:t>Breakthrough devices / breakthrough IVDs</w:t>
      </w:r>
      <w:r w:rsidRPr="004A7E5E">
        <w:rPr>
          <w:rFonts w:eastAsia="Calibri" w:cs="Calibri"/>
          <w:szCs w:val="22"/>
        </w:rPr>
        <w:t>, and</w:t>
      </w:r>
    </w:p>
    <w:p w14:paraId="309B42F3" w14:textId="77777777" w:rsidR="00680C3E" w:rsidRPr="004A7E5E" w:rsidRDefault="00680C3E" w:rsidP="00700B94">
      <w:pPr>
        <w:pStyle w:val="Paragraphedeliste"/>
        <w:numPr>
          <w:ilvl w:val="0"/>
          <w:numId w:val="14"/>
        </w:numPr>
        <w:rPr>
          <w:rFonts w:eastAsia="Calibri" w:cs="Calibri"/>
          <w:szCs w:val="22"/>
        </w:rPr>
      </w:pPr>
      <w:r w:rsidRPr="0024535D">
        <w:rPr>
          <w:b/>
          <w:bCs/>
        </w:rPr>
        <w:t>Orphan devices / orphan IVDs</w:t>
      </w:r>
      <w:r w:rsidRPr="004A7E5E">
        <w:rPr>
          <w:rFonts w:eastAsia="Calibri" w:cs="Calibri"/>
          <w:szCs w:val="22"/>
        </w:rPr>
        <w:t>.</w:t>
      </w:r>
    </w:p>
    <w:p w14:paraId="4F6432BA" w14:textId="77777777" w:rsidR="00680C3E" w:rsidRPr="004A7E5E" w:rsidRDefault="00680C3E" w:rsidP="0024535D">
      <w:pPr>
        <w:rPr>
          <w:rFonts w:eastAsia="Calibri" w:cs="Calibri"/>
          <w:szCs w:val="22"/>
        </w:rPr>
      </w:pPr>
      <w:r w:rsidRPr="004A7E5E">
        <w:rPr>
          <w:rFonts w:eastAsia="Calibri" w:cs="Calibri"/>
          <w:szCs w:val="22"/>
        </w:rPr>
        <w:t xml:space="preserve">These mechanisms are intended to promote access to technologies addressing unmet medical needs, rare conditions, or serious clinical challenges, and may involve </w:t>
      </w:r>
      <w:r w:rsidRPr="004A7E5E">
        <w:rPr>
          <w:rFonts w:eastAsia="Times New Roman" w:cs="Calibri"/>
          <w:b/>
          <w:szCs w:val="22"/>
        </w:rPr>
        <w:t>priority review, rolling review and adapted evidence pathways</w:t>
      </w:r>
      <w:r w:rsidRPr="004A7E5E">
        <w:rPr>
          <w:rFonts w:eastAsia="Calibri" w:cs="Calibri"/>
          <w:szCs w:val="22"/>
        </w:rPr>
        <w:t>.</w:t>
      </w:r>
    </w:p>
    <w:p w14:paraId="51FAEA3A" w14:textId="77777777" w:rsidR="00680C3E" w:rsidRPr="004A7E5E" w:rsidRDefault="00680C3E" w:rsidP="0024535D">
      <w:pPr>
        <w:rPr>
          <w:rFonts w:eastAsia="Calibri" w:cs="Calibri"/>
          <w:szCs w:val="22"/>
        </w:rPr>
      </w:pPr>
      <w:r w:rsidRPr="004A7E5E">
        <w:rPr>
          <w:rFonts w:eastAsia="Calibri" w:cs="Calibri"/>
          <w:szCs w:val="22"/>
        </w:rPr>
        <w:t xml:space="preserve">Because </w:t>
      </w:r>
      <w:proofErr w:type="spellStart"/>
      <w:r w:rsidRPr="004A7E5E">
        <w:rPr>
          <w:rFonts w:eastAsia="Calibri" w:cs="Calibri"/>
          <w:szCs w:val="22"/>
        </w:rPr>
        <w:t>BtX</w:t>
      </w:r>
      <w:proofErr w:type="spellEnd"/>
      <w:r w:rsidRPr="004A7E5E">
        <w:rPr>
          <w:rFonts w:eastAsia="Calibri" w:cs="Calibri"/>
          <w:szCs w:val="22"/>
        </w:rPr>
        <w:t xml:space="preserve"> and Orphan designations have a </w:t>
      </w:r>
      <w:r w:rsidRPr="004A7E5E">
        <w:rPr>
          <w:rFonts w:eastAsia="Times New Roman" w:cs="Calibri"/>
          <w:i/>
          <w:szCs w:val="22"/>
        </w:rPr>
        <w:t>higher regulatory significance</w:t>
      </w:r>
      <w:r w:rsidRPr="004A7E5E">
        <w:rPr>
          <w:rFonts w:eastAsia="Calibri" w:cs="Calibri"/>
          <w:szCs w:val="22"/>
        </w:rPr>
        <w:t xml:space="preserve"> than standard Article</w:t>
      </w:r>
      <w:r w:rsidRPr="004A7E5E">
        <w:rPr>
          <w:rFonts w:ascii="Arial" w:eastAsia="Calibri" w:hAnsi="Arial" w:cs="Arial"/>
          <w:szCs w:val="22"/>
        </w:rPr>
        <w:t> </w:t>
      </w:r>
      <w:r w:rsidRPr="004A7E5E">
        <w:rPr>
          <w:rFonts w:eastAsia="Calibri" w:cs="Calibri"/>
          <w:szCs w:val="22"/>
        </w:rPr>
        <w:t xml:space="preserve">106 advice, and because the proposed MDR/IVDR foresee that Expert Panel recommendations may form the basis for </w:t>
      </w:r>
      <w:r w:rsidRPr="004A7E5E">
        <w:rPr>
          <w:rFonts w:eastAsia="Times New Roman" w:cs="Calibri"/>
          <w:b/>
          <w:szCs w:val="22"/>
        </w:rPr>
        <w:t>Union</w:t>
      </w:r>
      <w:r w:rsidRPr="004A7E5E">
        <w:rPr>
          <w:rFonts w:eastAsia="Times New Roman" w:cs="Calibri"/>
          <w:b/>
          <w:szCs w:val="22"/>
        </w:rPr>
        <w:noBreakHyphen/>
        <w:t>level regulatory decisions</w:t>
      </w:r>
      <w:r w:rsidRPr="004A7E5E">
        <w:rPr>
          <w:rFonts w:eastAsia="Calibri" w:cs="Calibri"/>
          <w:szCs w:val="22"/>
        </w:rPr>
        <w:t xml:space="preserve">, Team-NB proposed that the </w:t>
      </w:r>
      <w:proofErr w:type="spellStart"/>
      <w:r w:rsidRPr="004A7E5E">
        <w:rPr>
          <w:rFonts w:eastAsia="Calibri" w:cs="Calibri"/>
          <w:szCs w:val="22"/>
        </w:rPr>
        <w:t>BtX</w:t>
      </w:r>
      <w:proofErr w:type="spellEnd"/>
      <w:r w:rsidRPr="004A7E5E">
        <w:rPr>
          <w:rFonts w:eastAsia="Calibri" w:cs="Calibri"/>
          <w:szCs w:val="22"/>
        </w:rPr>
        <w:t>/Orphan Standing Panel:</w:t>
      </w:r>
    </w:p>
    <w:p w14:paraId="21F8990D" w14:textId="77777777" w:rsidR="00680C3E" w:rsidRPr="004A7E5E" w:rsidRDefault="00680C3E" w:rsidP="00700B94">
      <w:pPr>
        <w:pStyle w:val="Paragraphedeliste"/>
        <w:numPr>
          <w:ilvl w:val="0"/>
          <w:numId w:val="15"/>
        </w:numPr>
        <w:rPr>
          <w:rFonts w:eastAsia="Calibri" w:cs="Calibri"/>
          <w:szCs w:val="22"/>
        </w:rPr>
      </w:pPr>
      <w:r w:rsidRPr="004A7E5E">
        <w:rPr>
          <w:rFonts w:eastAsia="Calibri" w:cs="Calibri"/>
          <w:szCs w:val="22"/>
        </w:rPr>
        <w:t xml:space="preserve">has </w:t>
      </w:r>
      <w:r w:rsidRPr="004A7E5E">
        <w:rPr>
          <w:rFonts w:eastAsia="Times New Roman" w:cs="Calibri"/>
          <w:b/>
          <w:szCs w:val="22"/>
        </w:rPr>
        <w:t>stable membership</w:t>
      </w:r>
      <w:r w:rsidRPr="004A7E5E">
        <w:rPr>
          <w:rFonts w:eastAsia="Calibri" w:cs="Calibri"/>
          <w:szCs w:val="22"/>
        </w:rPr>
        <w:t xml:space="preserve">, including </w:t>
      </w:r>
      <w:r w:rsidRPr="004A7E5E">
        <w:rPr>
          <w:rFonts w:eastAsia="Times New Roman" w:cs="Calibri"/>
          <w:b/>
          <w:szCs w:val="22"/>
        </w:rPr>
        <w:t>Member State representatives</w:t>
      </w:r>
      <w:r w:rsidRPr="004A7E5E">
        <w:rPr>
          <w:rFonts w:eastAsia="Calibri" w:cs="Calibri"/>
          <w:szCs w:val="22"/>
        </w:rPr>
        <w:t>, ensuring continuity and legitimacy;</w:t>
      </w:r>
    </w:p>
    <w:p w14:paraId="5914435D" w14:textId="77777777" w:rsidR="00680C3E" w:rsidRPr="004A7E5E" w:rsidRDefault="00680C3E" w:rsidP="00700B94">
      <w:pPr>
        <w:pStyle w:val="Paragraphedeliste"/>
        <w:numPr>
          <w:ilvl w:val="0"/>
          <w:numId w:val="15"/>
        </w:numPr>
        <w:rPr>
          <w:rFonts w:eastAsia="Calibri" w:cs="Calibri"/>
          <w:szCs w:val="22"/>
        </w:rPr>
      </w:pPr>
      <w:r w:rsidRPr="004A7E5E">
        <w:rPr>
          <w:rFonts w:eastAsia="Calibri" w:cs="Calibri"/>
          <w:szCs w:val="22"/>
        </w:rPr>
        <w:t xml:space="preserve">includes academic and NB experts selected under </w:t>
      </w:r>
      <w:r w:rsidRPr="004A7E5E">
        <w:rPr>
          <w:rFonts w:eastAsia="Times New Roman" w:cs="Calibri"/>
          <w:b/>
          <w:szCs w:val="22"/>
        </w:rPr>
        <w:t>Article</w:t>
      </w:r>
      <w:r w:rsidRPr="004A7E5E">
        <w:rPr>
          <w:rFonts w:ascii="Arial" w:eastAsia="Times New Roman" w:hAnsi="Arial" w:cs="Arial"/>
          <w:b/>
          <w:szCs w:val="22"/>
        </w:rPr>
        <w:t> </w:t>
      </w:r>
      <w:r w:rsidRPr="004A7E5E">
        <w:rPr>
          <w:rFonts w:eastAsia="Times New Roman" w:cs="Calibri"/>
          <w:b/>
          <w:szCs w:val="22"/>
        </w:rPr>
        <w:t>106(6)</w:t>
      </w:r>
      <w:r w:rsidRPr="004A7E5E">
        <w:rPr>
          <w:rFonts w:eastAsia="Calibri" w:cs="Calibri"/>
          <w:szCs w:val="22"/>
        </w:rPr>
        <w:t xml:space="preserve"> independence rules;</w:t>
      </w:r>
    </w:p>
    <w:p w14:paraId="79693719" w14:textId="77777777" w:rsidR="00680C3E" w:rsidRPr="004A7E5E" w:rsidRDefault="00680C3E" w:rsidP="00700B94">
      <w:pPr>
        <w:pStyle w:val="Paragraphedeliste"/>
        <w:numPr>
          <w:ilvl w:val="0"/>
          <w:numId w:val="15"/>
        </w:numPr>
        <w:rPr>
          <w:rFonts w:eastAsia="Calibri" w:cs="Calibri"/>
          <w:szCs w:val="22"/>
        </w:rPr>
      </w:pPr>
      <w:r w:rsidRPr="004A7E5E">
        <w:rPr>
          <w:rFonts w:eastAsia="Calibri" w:cs="Calibri"/>
          <w:szCs w:val="22"/>
        </w:rPr>
        <w:t xml:space="preserve">provides </w:t>
      </w:r>
      <w:r w:rsidRPr="0024535D">
        <w:rPr>
          <w:rFonts w:eastAsia="Times New Roman"/>
          <w:b/>
          <w:bCs/>
        </w:rPr>
        <w:t>scientific recommendations capable of being transformed into Union</w:t>
      </w:r>
      <w:r w:rsidRPr="0024535D">
        <w:rPr>
          <w:rFonts w:eastAsia="Times New Roman"/>
          <w:b/>
          <w:bCs/>
        </w:rPr>
        <w:noBreakHyphen/>
        <w:t>level legally binding decisions</w:t>
      </w:r>
      <w:r w:rsidRPr="004A7E5E">
        <w:rPr>
          <w:rFonts w:eastAsia="Calibri" w:cs="Calibri"/>
          <w:szCs w:val="22"/>
        </w:rPr>
        <w:t>, similar to the Orphan medicinal product pathway;</w:t>
      </w:r>
    </w:p>
    <w:p w14:paraId="5473C500" w14:textId="77777777" w:rsidR="00680C3E" w:rsidRPr="004A7E5E" w:rsidRDefault="00680C3E" w:rsidP="00700B94">
      <w:pPr>
        <w:pStyle w:val="Paragraphedeliste"/>
        <w:numPr>
          <w:ilvl w:val="0"/>
          <w:numId w:val="15"/>
        </w:numPr>
        <w:rPr>
          <w:rFonts w:eastAsia="Calibri" w:cs="Calibri"/>
          <w:szCs w:val="22"/>
        </w:rPr>
      </w:pPr>
      <w:r w:rsidRPr="004A7E5E">
        <w:rPr>
          <w:rFonts w:eastAsia="Calibri" w:cs="Calibri"/>
          <w:szCs w:val="22"/>
        </w:rPr>
        <w:t>operate under governance rules aligned with Article</w:t>
      </w:r>
      <w:r w:rsidRPr="004A7E5E">
        <w:rPr>
          <w:rFonts w:ascii="Arial" w:eastAsia="Calibri" w:hAnsi="Arial" w:cs="Arial"/>
          <w:szCs w:val="22"/>
        </w:rPr>
        <w:t> </w:t>
      </w:r>
      <w:r w:rsidRPr="004A7E5E">
        <w:rPr>
          <w:rFonts w:eastAsia="Calibri" w:cs="Calibri"/>
          <w:szCs w:val="22"/>
        </w:rPr>
        <w:t>106 of the MDR/IVDR.</w:t>
      </w:r>
    </w:p>
    <w:p w14:paraId="785961D8" w14:textId="77777777" w:rsidR="00680C3E" w:rsidRPr="004A7E5E" w:rsidRDefault="00680C3E" w:rsidP="0024535D">
      <w:pPr>
        <w:rPr>
          <w:rFonts w:eastAsia="Calibri" w:cs="Calibri"/>
          <w:szCs w:val="22"/>
        </w:rPr>
      </w:pPr>
      <w:r w:rsidRPr="004A7E5E">
        <w:rPr>
          <w:rFonts w:eastAsia="Calibri" w:cs="Calibri"/>
          <w:szCs w:val="22"/>
        </w:rPr>
        <w:t xml:space="preserve">This Standing Panel should serve </w:t>
      </w:r>
      <w:r w:rsidRPr="004A7E5E">
        <w:rPr>
          <w:rFonts w:eastAsia="Times New Roman" w:cs="Calibri"/>
          <w:b/>
          <w:szCs w:val="22"/>
        </w:rPr>
        <w:t>both the MDR and the IVDR</w:t>
      </w:r>
      <w:r w:rsidRPr="004A7E5E">
        <w:rPr>
          <w:rFonts w:eastAsia="Calibri" w:cs="Calibri"/>
          <w:szCs w:val="22"/>
        </w:rPr>
        <w:t xml:space="preserve">, reflecting that </w:t>
      </w:r>
      <w:proofErr w:type="spellStart"/>
      <w:r w:rsidRPr="004A7E5E">
        <w:rPr>
          <w:rFonts w:eastAsia="Calibri" w:cs="Calibri"/>
          <w:szCs w:val="22"/>
        </w:rPr>
        <w:t>BtX</w:t>
      </w:r>
      <w:proofErr w:type="spellEnd"/>
      <w:r w:rsidRPr="004A7E5E">
        <w:rPr>
          <w:rFonts w:eastAsia="Calibri" w:cs="Calibri"/>
          <w:szCs w:val="22"/>
        </w:rPr>
        <w:t xml:space="preserve">/Orphan mechanisms are introduced in </w:t>
      </w:r>
      <w:r w:rsidRPr="004A7E5E">
        <w:rPr>
          <w:rFonts w:eastAsia="Times New Roman" w:cs="Calibri"/>
          <w:b/>
          <w:szCs w:val="22"/>
        </w:rPr>
        <w:t>both proposed Article</w:t>
      </w:r>
      <w:r w:rsidRPr="004A7E5E">
        <w:rPr>
          <w:rFonts w:ascii="Arial" w:eastAsia="Times New Roman" w:hAnsi="Arial" w:cs="Arial"/>
          <w:b/>
          <w:szCs w:val="22"/>
        </w:rPr>
        <w:t> </w:t>
      </w:r>
      <w:r w:rsidRPr="004A7E5E">
        <w:rPr>
          <w:rFonts w:eastAsia="Times New Roman" w:cs="Calibri"/>
          <w:b/>
          <w:szCs w:val="22"/>
        </w:rPr>
        <w:t>52a MDR</w:t>
      </w:r>
      <w:r w:rsidRPr="004A7E5E">
        <w:rPr>
          <w:rFonts w:eastAsia="Calibri" w:cs="Calibri"/>
          <w:szCs w:val="22"/>
        </w:rPr>
        <w:t xml:space="preserve"> and </w:t>
      </w:r>
      <w:r w:rsidRPr="004A7E5E">
        <w:rPr>
          <w:rFonts w:eastAsia="Times New Roman" w:cs="Calibri"/>
          <w:b/>
          <w:szCs w:val="22"/>
        </w:rPr>
        <w:t>Article</w:t>
      </w:r>
      <w:r w:rsidRPr="004A7E5E">
        <w:rPr>
          <w:rFonts w:ascii="Arial" w:eastAsia="Times New Roman" w:hAnsi="Arial" w:cs="Arial"/>
          <w:b/>
          <w:szCs w:val="22"/>
        </w:rPr>
        <w:t> </w:t>
      </w:r>
      <w:r w:rsidRPr="004A7E5E">
        <w:rPr>
          <w:rFonts w:eastAsia="Times New Roman" w:cs="Calibri"/>
          <w:b/>
          <w:szCs w:val="22"/>
        </w:rPr>
        <w:t>48a IVDR</w:t>
      </w:r>
      <w:r w:rsidRPr="004A7E5E">
        <w:rPr>
          <w:rFonts w:eastAsia="Calibri" w:cs="Calibri"/>
          <w:szCs w:val="22"/>
        </w:rPr>
        <w:t xml:space="preserve">. The binding decisions, similar to the orphan medicinal product pathway ensure that NBs are </w:t>
      </w:r>
      <w:r w:rsidRPr="004A7E5E">
        <w:rPr>
          <w:rFonts w:eastAsia="Times New Roman" w:cs="Calibri"/>
          <w:b/>
          <w:szCs w:val="22"/>
        </w:rPr>
        <w:t>not exposed to undue liability risks</w:t>
      </w:r>
      <w:r w:rsidRPr="004A7E5E">
        <w:rPr>
          <w:rFonts w:eastAsia="Calibri" w:cs="Calibri"/>
          <w:szCs w:val="22"/>
        </w:rPr>
        <w:t xml:space="preserve"> when certifying devices supported by emerging or incomplete clinical data.</w:t>
      </w:r>
    </w:p>
    <w:p w14:paraId="180B9B4D" w14:textId="6EF8351E" w:rsidR="00680C3E" w:rsidRPr="004A7E5E" w:rsidRDefault="00680C3E" w:rsidP="00680C3E">
      <w:pPr>
        <w:spacing w:after="0" w:line="256" w:lineRule="auto"/>
        <w:jc w:val="center"/>
        <w:rPr>
          <w:rFonts w:eastAsia="Calibri" w:cs="Calibri"/>
          <w:szCs w:val="22"/>
        </w:rPr>
      </w:pPr>
    </w:p>
    <w:p w14:paraId="105187F5" w14:textId="77777777" w:rsidR="00680C3E" w:rsidRPr="009216E7" w:rsidRDefault="00680C3E" w:rsidP="00680C3E">
      <w:pPr>
        <w:keepNext/>
        <w:keepLines/>
        <w:spacing w:before="40" w:after="0" w:line="256" w:lineRule="auto"/>
        <w:outlineLvl w:val="3"/>
        <w:rPr>
          <w:rStyle w:val="Accentuationintense"/>
          <w:lang w:val="fr-BE"/>
        </w:rPr>
      </w:pPr>
      <w:r w:rsidRPr="009216E7">
        <w:rPr>
          <w:rStyle w:val="Accentuationintense"/>
          <w:lang w:val="fr-BE"/>
        </w:rPr>
        <w:t>Clinical Expert Panels (Article 61(2) MDR, 56 IVDR)</w:t>
      </w:r>
    </w:p>
    <w:p w14:paraId="0AD8E8BB" w14:textId="7DB32A52" w:rsidR="00680C3E" w:rsidRPr="004A7E5E" w:rsidRDefault="00680C3E" w:rsidP="0024535D">
      <w:pPr>
        <w:rPr>
          <w:rFonts w:eastAsia="Calibri" w:cs="Calibri"/>
          <w:szCs w:val="22"/>
        </w:rPr>
      </w:pPr>
      <w:r w:rsidRPr="004A7E5E">
        <w:rPr>
          <w:rFonts w:eastAsia="Calibri" w:cs="Calibri"/>
          <w:szCs w:val="22"/>
        </w:rPr>
        <w:t xml:space="preserve">Under </w:t>
      </w:r>
      <w:r w:rsidRPr="004A7E5E">
        <w:rPr>
          <w:rFonts w:eastAsia="Times New Roman" w:cs="Calibri"/>
          <w:b/>
          <w:szCs w:val="22"/>
        </w:rPr>
        <w:t>Article</w:t>
      </w:r>
      <w:r w:rsidRPr="004A7E5E">
        <w:rPr>
          <w:rFonts w:ascii="Arial" w:eastAsia="Times New Roman" w:hAnsi="Arial" w:cs="Arial"/>
          <w:b/>
          <w:szCs w:val="22"/>
        </w:rPr>
        <w:t> </w:t>
      </w:r>
      <w:r w:rsidRPr="004A7E5E">
        <w:rPr>
          <w:rFonts w:eastAsia="Times New Roman" w:cs="Calibri"/>
          <w:b/>
          <w:szCs w:val="22"/>
        </w:rPr>
        <w:t>61(2) MDR</w:t>
      </w:r>
      <w:r w:rsidRPr="004A7E5E">
        <w:rPr>
          <w:rFonts w:eastAsia="Calibri" w:cs="Calibri"/>
          <w:szCs w:val="22"/>
        </w:rPr>
        <w:t xml:space="preserve">, manufacturers of class IIb and III devices may seek </w:t>
      </w:r>
      <w:r w:rsidRPr="004A7E5E">
        <w:rPr>
          <w:rFonts w:eastAsia="Times New Roman" w:cs="Calibri"/>
          <w:b/>
          <w:szCs w:val="22"/>
        </w:rPr>
        <w:t>early scientific advice</w:t>
      </w:r>
      <w:r w:rsidRPr="004A7E5E">
        <w:rPr>
          <w:rFonts w:eastAsia="Calibri" w:cs="Calibri"/>
          <w:szCs w:val="22"/>
        </w:rPr>
        <w:t xml:space="preserve"> on their clinical development strategy. Under </w:t>
      </w:r>
      <w:r w:rsidRPr="004A7E5E">
        <w:rPr>
          <w:rFonts w:eastAsia="Times New Roman" w:cs="Calibri"/>
          <w:b/>
          <w:szCs w:val="22"/>
        </w:rPr>
        <w:t>Article</w:t>
      </w:r>
      <w:r w:rsidRPr="004A7E5E">
        <w:rPr>
          <w:rFonts w:ascii="Arial" w:eastAsia="Times New Roman" w:hAnsi="Arial" w:cs="Arial"/>
          <w:b/>
          <w:szCs w:val="22"/>
        </w:rPr>
        <w:t> </w:t>
      </w:r>
      <w:r w:rsidRPr="004A7E5E">
        <w:rPr>
          <w:rFonts w:eastAsia="Times New Roman" w:cs="Calibri"/>
          <w:b/>
          <w:szCs w:val="22"/>
        </w:rPr>
        <w:t>56 IVDR</w:t>
      </w:r>
      <w:r w:rsidRPr="004A7E5E">
        <w:rPr>
          <w:rFonts w:eastAsia="Calibri" w:cs="Calibri"/>
          <w:szCs w:val="22"/>
        </w:rPr>
        <w:t>, manufacturers of class C and D IVDs may seek similar advice on performance evaluation strategies.</w:t>
      </w:r>
    </w:p>
    <w:p w14:paraId="3E6505AE" w14:textId="77777777" w:rsidR="00680C3E" w:rsidRPr="004A7E5E" w:rsidRDefault="00680C3E" w:rsidP="0024535D">
      <w:pPr>
        <w:rPr>
          <w:rFonts w:eastAsia="Calibri" w:cs="Calibri"/>
          <w:szCs w:val="22"/>
        </w:rPr>
      </w:pPr>
      <w:r w:rsidRPr="004A7E5E">
        <w:rPr>
          <w:rFonts w:eastAsia="Calibri" w:cs="Calibri"/>
          <w:szCs w:val="22"/>
        </w:rPr>
        <w:t xml:space="preserve">These advisory activities represent the role foreseen in </w:t>
      </w:r>
      <w:r w:rsidRPr="004A7E5E">
        <w:rPr>
          <w:rFonts w:eastAsia="Times New Roman" w:cs="Calibri"/>
          <w:b/>
          <w:szCs w:val="22"/>
        </w:rPr>
        <w:t>Article</w:t>
      </w:r>
      <w:r w:rsidRPr="004A7E5E">
        <w:rPr>
          <w:rFonts w:ascii="Arial" w:eastAsia="Times New Roman" w:hAnsi="Arial" w:cs="Arial"/>
          <w:b/>
          <w:szCs w:val="22"/>
        </w:rPr>
        <w:t> </w:t>
      </w:r>
      <w:r w:rsidRPr="004A7E5E">
        <w:rPr>
          <w:rFonts w:eastAsia="Times New Roman" w:cs="Calibri"/>
          <w:b/>
          <w:szCs w:val="22"/>
        </w:rPr>
        <w:t>106(1)(e) and 106(7)(a)</w:t>
      </w:r>
      <w:r w:rsidRPr="004A7E5E">
        <w:rPr>
          <w:rFonts w:eastAsia="Calibri" w:cs="Calibri"/>
          <w:szCs w:val="22"/>
        </w:rPr>
        <w:t xml:space="preserve"> and are distinct from the CECP/PECP procedures. Per </w:t>
      </w:r>
      <w:r w:rsidRPr="004A7E5E">
        <w:rPr>
          <w:rFonts w:eastAsia="Times New Roman" w:cs="Calibri"/>
          <w:b/>
          <w:szCs w:val="22"/>
        </w:rPr>
        <w:t>Article</w:t>
      </w:r>
      <w:r w:rsidRPr="004A7E5E">
        <w:rPr>
          <w:rFonts w:ascii="Arial" w:eastAsia="Times New Roman" w:hAnsi="Arial" w:cs="Arial"/>
          <w:b/>
          <w:szCs w:val="22"/>
        </w:rPr>
        <w:t> </w:t>
      </w:r>
      <w:r w:rsidRPr="004A7E5E">
        <w:rPr>
          <w:rFonts w:eastAsia="Times New Roman" w:cs="Calibri"/>
          <w:b/>
          <w:szCs w:val="22"/>
        </w:rPr>
        <w:t>106(6)</w:t>
      </w:r>
      <w:r w:rsidRPr="004A7E5E">
        <w:rPr>
          <w:rFonts w:eastAsia="Calibri" w:cs="Calibri"/>
          <w:szCs w:val="22"/>
        </w:rPr>
        <w:t xml:space="preserve">, NB experts participating in these advisory panels </w:t>
      </w:r>
      <w:r w:rsidRPr="004A7E5E">
        <w:rPr>
          <w:rFonts w:eastAsia="Times New Roman" w:cs="Calibri"/>
          <w:b/>
          <w:szCs w:val="22"/>
        </w:rPr>
        <w:t>shall not</w:t>
      </w:r>
      <w:r w:rsidRPr="004A7E5E">
        <w:rPr>
          <w:rFonts w:eastAsia="Calibri" w:cs="Calibri"/>
          <w:szCs w:val="22"/>
        </w:rPr>
        <w:t xml:space="preserve"> be involved in CECP (Article</w:t>
      </w:r>
      <w:r w:rsidRPr="004A7E5E">
        <w:rPr>
          <w:rFonts w:ascii="Arial" w:eastAsia="Calibri" w:hAnsi="Arial" w:cs="Arial"/>
          <w:szCs w:val="22"/>
        </w:rPr>
        <w:t> </w:t>
      </w:r>
      <w:r w:rsidRPr="004A7E5E">
        <w:rPr>
          <w:rFonts w:eastAsia="Calibri" w:cs="Calibri"/>
          <w:szCs w:val="22"/>
        </w:rPr>
        <w:t>54 MDR). Thus, Figure</w:t>
      </w:r>
      <w:r w:rsidRPr="004A7E5E">
        <w:rPr>
          <w:rFonts w:ascii="Arial" w:eastAsia="Calibri" w:hAnsi="Arial" w:cs="Arial"/>
          <w:szCs w:val="22"/>
        </w:rPr>
        <w:t> </w:t>
      </w:r>
      <w:r w:rsidRPr="004A7E5E">
        <w:rPr>
          <w:rFonts w:eastAsia="Calibri" w:cs="Calibri"/>
          <w:szCs w:val="22"/>
        </w:rPr>
        <w:t xml:space="preserve">2 correctly shows these Clinical Panels as </w:t>
      </w:r>
      <w:r w:rsidRPr="004A7E5E">
        <w:rPr>
          <w:rFonts w:eastAsia="Times New Roman" w:cs="Calibri"/>
          <w:b/>
          <w:szCs w:val="22"/>
        </w:rPr>
        <w:t>ad</w:t>
      </w:r>
      <w:r w:rsidRPr="004A7E5E">
        <w:rPr>
          <w:rFonts w:eastAsia="Times New Roman" w:cs="Calibri"/>
          <w:b/>
          <w:szCs w:val="22"/>
        </w:rPr>
        <w:noBreakHyphen/>
        <w:t>hoc advisory groups</w:t>
      </w:r>
      <w:r w:rsidRPr="004A7E5E">
        <w:rPr>
          <w:rFonts w:eastAsia="Calibri" w:cs="Calibri"/>
          <w:szCs w:val="22"/>
        </w:rPr>
        <w:t>, not CECP review panels.</w:t>
      </w:r>
    </w:p>
    <w:p w14:paraId="4497C372" w14:textId="5D6B7ECD" w:rsidR="00680C3E" w:rsidRPr="004A7E5E" w:rsidRDefault="00680C3E" w:rsidP="00680C3E">
      <w:pPr>
        <w:spacing w:after="0" w:line="256" w:lineRule="auto"/>
        <w:jc w:val="center"/>
        <w:rPr>
          <w:rFonts w:eastAsia="Calibri" w:cs="Calibri"/>
          <w:szCs w:val="22"/>
        </w:rPr>
      </w:pPr>
    </w:p>
    <w:p w14:paraId="0D31C116" w14:textId="77777777" w:rsidR="00680C3E" w:rsidRPr="0024535D" w:rsidRDefault="00680C3E" w:rsidP="00680C3E">
      <w:pPr>
        <w:keepNext/>
        <w:keepLines/>
        <w:spacing w:before="40" w:after="0" w:line="256" w:lineRule="auto"/>
        <w:outlineLvl w:val="3"/>
        <w:rPr>
          <w:rStyle w:val="Accentuationintense"/>
        </w:rPr>
      </w:pPr>
      <w:r w:rsidRPr="0024535D">
        <w:rPr>
          <w:rStyle w:val="Accentuationintense"/>
        </w:rPr>
        <w:t>Central List of Technical &amp; Regulatory Experts (Article 106(2))</w:t>
      </w:r>
    </w:p>
    <w:p w14:paraId="48C92635" w14:textId="77777777" w:rsidR="00680C3E" w:rsidRPr="004A7E5E" w:rsidRDefault="00680C3E" w:rsidP="0024535D">
      <w:pPr>
        <w:rPr>
          <w:rFonts w:eastAsia="Calibri" w:cs="Calibri"/>
          <w:szCs w:val="22"/>
        </w:rPr>
      </w:pPr>
      <w:r w:rsidRPr="004A7E5E">
        <w:rPr>
          <w:rFonts w:eastAsia="Calibri" w:cs="Calibri"/>
          <w:szCs w:val="22"/>
        </w:rPr>
        <w:t xml:space="preserve">The central expert pool foreseen in </w:t>
      </w:r>
      <w:r w:rsidRPr="004A7E5E">
        <w:rPr>
          <w:rFonts w:eastAsia="Times New Roman" w:cs="Calibri"/>
          <w:b/>
          <w:szCs w:val="22"/>
        </w:rPr>
        <w:t>Article</w:t>
      </w:r>
      <w:r w:rsidRPr="004A7E5E">
        <w:rPr>
          <w:rFonts w:ascii="Arial" w:eastAsia="Times New Roman" w:hAnsi="Arial" w:cs="Arial"/>
          <w:b/>
          <w:szCs w:val="22"/>
        </w:rPr>
        <w:t> </w:t>
      </w:r>
      <w:r w:rsidRPr="004A7E5E">
        <w:rPr>
          <w:rFonts w:eastAsia="Times New Roman" w:cs="Calibri"/>
          <w:b/>
          <w:szCs w:val="22"/>
        </w:rPr>
        <w:t>106(2)</w:t>
      </w:r>
      <w:r w:rsidRPr="004A7E5E">
        <w:rPr>
          <w:rFonts w:eastAsia="Calibri" w:cs="Calibri"/>
          <w:szCs w:val="22"/>
        </w:rPr>
        <w:t xml:space="preserve"> supports Standing Panels and Clinical Panels in domains such as:</w:t>
      </w:r>
    </w:p>
    <w:p w14:paraId="67CBA873" w14:textId="77777777" w:rsidR="00680C3E" w:rsidRPr="004A7E5E" w:rsidRDefault="00680C3E" w:rsidP="00700B94">
      <w:pPr>
        <w:pStyle w:val="Paragraphedeliste"/>
        <w:numPr>
          <w:ilvl w:val="0"/>
          <w:numId w:val="16"/>
        </w:numPr>
        <w:rPr>
          <w:rFonts w:eastAsia="Calibri" w:cs="Calibri"/>
          <w:szCs w:val="22"/>
        </w:rPr>
      </w:pPr>
      <w:r w:rsidRPr="004A7E5E">
        <w:rPr>
          <w:rFonts w:eastAsia="Calibri" w:cs="Calibri"/>
          <w:szCs w:val="22"/>
        </w:rPr>
        <w:t>software, cybersecurity</w:t>
      </w:r>
    </w:p>
    <w:p w14:paraId="0B0A44E2" w14:textId="77777777" w:rsidR="00680C3E" w:rsidRPr="004A7E5E" w:rsidRDefault="00680C3E" w:rsidP="00700B94">
      <w:pPr>
        <w:pStyle w:val="Paragraphedeliste"/>
        <w:numPr>
          <w:ilvl w:val="0"/>
          <w:numId w:val="16"/>
        </w:numPr>
        <w:rPr>
          <w:rFonts w:eastAsia="Calibri" w:cs="Calibri"/>
          <w:szCs w:val="22"/>
        </w:rPr>
      </w:pPr>
      <w:r w:rsidRPr="004A7E5E">
        <w:rPr>
          <w:rFonts w:eastAsia="Calibri" w:cs="Calibri"/>
          <w:szCs w:val="22"/>
        </w:rPr>
        <w:t>biocompatibility and materials science</w:t>
      </w:r>
    </w:p>
    <w:p w14:paraId="2401444E" w14:textId="77777777" w:rsidR="00680C3E" w:rsidRPr="004A7E5E" w:rsidRDefault="00680C3E" w:rsidP="00700B94">
      <w:pPr>
        <w:pStyle w:val="Paragraphedeliste"/>
        <w:numPr>
          <w:ilvl w:val="0"/>
          <w:numId w:val="16"/>
        </w:numPr>
        <w:rPr>
          <w:rFonts w:eastAsia="Calibri" w:cs="Calibri"/>
          <w:szCs w:val="22"/>
        </w:rPr>
      </w:pPr>
      <w:r w:rsidRPr="004A7E5E">
        <w:rPr>
          <w:rFonts w:eastAsia="Calibri" w:cs="Calibri"/>
          <w:szCs w:val="22"/>
        </w:rPr>
        <w:t>sterilisation and microbiology</w:t>
      </w:r>
    </w:p>
    <w:p w14:paraId="5FA632A2" w14:textId="77777777" w:rsidR="00680C3E" w:rsidRPr="004A7E5E" w:rsidRDefault="00680C3E" w:rsidP="00700B94">
      <w:pPr>
        <w:pStyle w:val="Paragraphedeliste"/>
        <w:numPr>
          <w:ilvl w:val="0"/>
          <w:numId w:val="16"/>
        </w:numPr>
        <w:rPr>
          <w:rFonts w:eastAsia="Calibri" w:cs="Calibri"/>
          <w:szCs w:val="22"/>
        </w:rPr>
      </w:pPr>
      <w:r w:rsidRPr="004A7E5E">
        <w:rPr>
          <w:rFonts w:eastAsia="Calibri" w:cs="Calibri"/>
          <w:szCs w:val="22"/>
        </w:rPr>
        <w:t>ancillary medicinal substances</w:t>
      </w:r>
    </w:p>
    <w:p w14:paraId="05F169F1" w14:textId="77777777" w:rsidR="00680C3E" w:rsidRPr="004A7E5E" w:rsidRDefault="00680C3E" w:rsidP="00700B94">
      <w:pPr>
        <w:pStyle w:val="Paragraphedeliste"/>
        <w:numPr>
          <w:ilvl w:val="0"/>
          <w:numId w:val="16"/>
        </w:numPr>
        <w:rPr>
          <w:rFonts w:eastAsia="Calibri" w:cs="Calibri"/>
          <w:szCs w:val="22"/>
        </w:rPr>
      </w:pPr>
      <w:r w:rsidRPr="004A7E5E">
        <w:rPr>
          <w:rFonts w:eastAsia="Calibri" w:cs="Calibri"/>
          <w:szCs w:val="22"/>
        </w:rPr>
        <w:t>electrical safety</w:t>
      </w:r>
    </w:p>
    <w:p w14:paraId="1979E40C" w14:textId="77777777" w:rsidR="00680C3E" w:rsidRPr="004A7E5E" w:rsidRDefault="00680C3E" w:rsidP="00700B94">
      <w:pPr>
        <w:pStyle w:val="Paragraphedeliste"/>
        <w:numPr>
          <w:ilvl w:val="0"/>
          <w:numId w:val="16"/>
        </w:numPr>
        <w:rPr>
          <w:rFonts w:eastAsia="Calibri" w:cs="Calibri"/>
          <w:szCs w:val="22"/>
        </w:rPr>
      </w:pPr>
      <w:r w:rsidRPr="004A7E5E">
        <w:rPr>
          <w:rFonts w:eastAsia="Calibri" w:cs="Calibri"/>
          <w:szCs w:val="22"/>
        </w:rPr>
        <w:t>GSPR</w:t>
      </w:r>
      <w:r w:rsidRPr="004A7E5E">
        <w:rPr>
          <w:rFonts w:eastAsia="Calibri" w:cs="Calibri"/>
          <w:szCs w:val="22"/>
        </w:rPr>
        <w:noBreakHyphen/>
        <w:t>related horizontal competencies</w:t>
      </w:r>
    </w:p>
    <w:p w14:paraId="742E5B40" w14:textId="77777777" w:rsidR="00680C3E" w:rsidRPr="004A7E5E" w:rsidRDefault="00680C3E" w:rsidP="0024535D">
      <w:pPr>
        <w:rPr>
          <w:rFonts w:eastAsia="Calibri" w:cs="Calibri"/>
          <w:szCs w:val="22"/>
        </w:rPr>
      </w:pPr>
      <w:r w:rsidRPr="004A7E5E">
        <w:rPr>
          <w:rFonts w:eastAsia="Calibri" w:cs="Calibri"/>
          <w:szCs w:val="22"/>
        </w:rPr>
        <w:t xml:space="preserve">These experts are mobilised </w:t>
      </w:r>
      <w:r w:rsidRPr="004A7E5E">
        <w:rPr>
          <w:rFonts w:eastAsia="Times New Roman" w:cs="Calibri"/>
          <w:b/>
          <w:szCs w:val="22"/>
        </w:rPr>
        <w:t>ad hoc</w:t>
      </w:r>
      <w:r w:rsidRPr="004A7E5E">
        <w:rPr>
          <w:rFonts w:eastAsia="Calibri" w:cs="Calibri"/>
          <w:szCs w:val="22"/>
        </w:rPr>
        <w:t xml:space="preserve"> across all Expert Panel functions.</w:t>
      </w:r>
    </w:p>
    <w:p w14:paraId="316F9D9D" w14:textId="77777777" w:rsidR="00680C3E" w:rsidRPr="004A7E5E" w:rsidRDefault="00680C3E" w:rsidP="00680C3E">
      <w:pPr>
        <w:spacing w:after="0" w:line="256" w:lineRule="auto"/>
        <w:rPr>
          <w:rFonts w:eastAsia="Calibri" w:cs="Calibri"/>
          <w:szCs w:val="22"/>
        </w:rPr>
      </w:pPr>
    </w:p>
    <w:p w14:paraId="21FE5126" w14:textId="77777777" w:rsidR="00680C3E" w:rsidRPr="0024535D" w:rsidRDefault="00680C3E" w:rsidP="0024535D">
      <w:pPr>
        <w:rPr>
          <w:sz w:val="18"/>
          <w:szCs w:val="14"/>
        </w:rPr>
      </w:pPr>
      <w:r w:rsidRPr="0024535D">
        <w:rPr>
          <w:sz w:val="18"/>
          <w:szCs w:val="14"/>
        </w:rPr>
        <w:t xml:space="preserve">Figure 2: Proposed structure of expert panels </w:t>
      </w:r>
    </w:p>
    <w:p w14:paraId="121B8DD5" w14:textId="77777777" w:rsidR="00680C3E" w:rsidRPr="0024535D" w:rsidRDefault="00680C3E" w:rsidP="00680C3E">
      <w:pPr>
        <w:spacing w:after="0" w:line="256" w:lineRule="auto"/>
      </w:pPr>
      <w:r w:rsidRPr="004A7E5E">
        <w:rPr>
          <w:rFonts w:eastAsia="Calibri" w:cs="Times New Roman"/>
          <w:noProof/>
        </w:rPr>
        <w:drawing>
          <wp:inline distT="0" distB="0" distL="0" distR="0" wp14:anchorId="42A2AC0D" wp14:editId="75AF561F">
            <wp:extent cx="5756275" cy="3239770"/>
            <wp:effectExtent l="0" t="0" r="0" b="0"/>
            <wp:docPr id="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6275" cy="3239770"/>
                    </a:xfrm>
                    <a:prstGeom prst="rect">
                      <a:avLst/>
                    </a:prstGeom>
                    <a:noFill/>
                    <a:ln>
                      <a:noFill/>
                    </a:ln>
                  </pic:spPr>
                </pic:pic>
              </a:graphicData>
            </a:graphic>
          </wp:inline>
        </w:drawing>
      </w:r>
      <w:r w:rsidRPr="0024535D">
        <w:t>Integrated Explanation of Figure</w:t>
      </w:r>
      <w:r w:rsidRPr="0024535D">
        <w:rPr>
          <w:rFonts w:ascii="Arial" w:hAnsi="Arial" w:cs="Arial"/>
        </w:rPr>
        <w:t> </w:t>
      </w:r>
      <w:r w:rsidRPr="0024535D">
        <w:t>2 (Articles</w:t>
      </w:r>
      <w:r w:rsidRPr="0024535D">
        <w:rPr>
          <w:rFonts w:ascii="Arial" w:hAnsi="Arial" w:cs="Arial"/>
        </w:rPr>
        <w:t> </w:t>
      </w:r>
      <w:r w:rsidRPr="0024535D">
        <w:t>4a, 51a, 51b, 52a MDR, 48a IVDR)</w:t>
      </w:r>
    </w:p>
    <w:p w14:paraId="461CEA10" w14:textId="77777777" w:rsidR="00680C3E" w:rsidRPr="004A7E5E" w:rsidRDefault="00680C3E" w:rsidP="0024535D">
      <w:pPr>
        <w:rPr>
          <w:rFonts w:eastAsia="Calibri" w:cs="Calibri"/>
          <w:szCs w:val="22"/>
        </w:rPr>
      </w:pPr>
      <w:r w:rsidRPr="004A7E5E">
        <w:rPr>
          <w:rFonts w:eastAsia="Times New Roman" w:cs="Calibri"/>
          <w:b/>
          <w:szCs w:val="22"/>
        </w:rPr>
        <w:t>Figure</w:t>
      </w:r>
      <w:r w:rsidRPr="004A7E5E">
        <w:rPr>
          <w:rFonts w:ascii="Arial" w:eastAsia="Times New Roman" w:hAnsi="Arial" w:cs="Arial"/>
          <w:b/>
          <w:szCs w:val="22"/>
        </w:rPr>
        <w:t> </w:t>
      </w:r>
      <w:r w:rsidRPr="004A7E5E">
        <w:rPr>
          <w:rFonts w:eastAsia="Times New Roman" w:cs="Calibri"/>
          <w:b/>
          <w:szCs w:val="22"/>
        </w:rPr>
        <w:t>2</w:t>
      </w:r>
      <w:r w:rsidRPr="004A7E5E">
        <w:rPr>
          <w:rFonts w:eastAsia="Calibri" w:cs="Calibri"/>
          <w:szCs w:val="22"/>
        </w:rPr>
        <w:t xml:space="preserve"> illustrates the architecture of Expert Panel activities under the proposed MDR/IVDR:</w:t>
      </w:r>
    </w:p>
    <w:p w14:paraId="5E4C3ECD" w14:textId="77777777" w:rsidR="00680C3E" w:rsidRPr="0024535D" w:rsidRDefault="00680C3E" w:rsidP="00680C3E">
      <w:pPr>
        <w:keepNext/>
        <w:keepLines/>
        <w:spacing w:before="40" w:after="0" w:line="256" w:lineRule="auto"/>
        <w:outlineLvl w:val="3"/>
        <w:rPr>
          <w:rStyle w:val="Accentuationintense"/>
        </w:rPr>
      </w:pPr>
      <w:r w:rsidRPr="0024535D">
        <w:rPr>
          <w:rStyle w:val="Accentuationintense"/>
        </w:rPr>
        <w:t>Standing Expert Panels (green box)</w:t>
      </w:r>
    </w:p>
    <w:p w14:paraId="2E123A41" w14:textId="77777777" w:rsidR="00680C3E" w:rsidRPr="004A7E5E" w:rsidRDefault="00680C3E" w:rsidP="00700B94">
      <w:pPr>
        <w:pStyle w:val="Paragraphedeliste"/>
        <w:numPr>
          <w:ilvl w:val="0"/>
          <w:numId w:val="17"/>
        </w:numPr>
        <w:rPr>
          <w:rFonts w:eastAsia="Calibri" w:cs="Calibri"/>
          <w:szCs w:val="22"/>
        </w:rPr>
      </w:pPr>
      <w:r w:rsidRPr="004A7E5E">
        <w:rPr>
          <w:rFonts w:eastAsia="Calibri" w:cs="Calibri"/>
          <w:szCs w:val="22"/>
        </w:rPr>
        <w:t>Screening Panel (CECP)</w:t>
      </w:r>
    </w:p>
    <w:p w14:paraId="0C51AC27" w14:textId="77777777" w:rsidR="00680C3E" w:rsidRPr="004A7E5E" w:rsidRDefault="00680C3E" w:rsidP="00700B94">
      <w:pPr>
        <w:pStyle w:val="Paragraphedeliste"/>
        <w:numPr>
          <w:ilvl w:val="0"/>
          <w:numId w:val="17"/>
        </w:numPr>
        <w:rPr>
          <w:rFonts w:eastAsia="Calibri" w:cs="Calibri"/>
          <w:szCs w:val="22"/>
        </w:rPr>
      </w:pPr>
      <w:r w:rsidRPr="0024535D">
        <w:rPr>
          <w:rFonts w:eastAsia="Times New Roman"/>
          <w:b/>
          <w:bCs/>
        </w:rPr>
        <w:t>Borderline &amp; Classification Standing Panel (</w:t>
      </w:r>
      <w:r w:rsidRPr="0024535D">
        <w:rPr>
          <w:b/>
          <w:bCs/>
        </w:rPr>
        <w:t>Articles</w:t>
      </w:r>
      <w:r w:rsidRPr="0024535D">
        <w:rPr>
          <w:rFonts w:ascii="Arial" w:hAnsi="Arial" w:cs="Arial"/>
          <w:b/>
          <w:bCs/>
        </w:rPr>
        <w:t> </w:t>
      </w:r>
      <w:r w:rsidRPr="0024535D">
        <w:rPr>
          <w:b/>
          <w:bCs/>
        </w:rPr>
        <w:t>4a, 51a, 51b MDR)</w:t>
      </w:r>
    </w:p>
    <w:p w14:paraId="34461428" w14:textId="77777777" w:rsidR="00680C3E" w:rsidRPr="004A7E5E" w:rsidRDefault="00680C3E" w:rsidP="00700B94">
      <w:pPr>
        <w:pStyle w:val="Paragraphedeliste"/>
        <w:numPr>
          <w:ilvl w:val="0"/>
          <w:numId w:val="17"/>
        </w:numPr>
        <w:rPr>
          <w:rFonts w:eastAsia="Calibri" w:cs="Calibri"/>
          <w:szCs w:val="22"/>
        </w:rPr>
      </w:pPr>
      <w:proofErr w:type="spellStart"/>
      <w:r w:rsidRPr="0024535D">
        <w:rPr>
          <w:rFonts w:eastAsia="Times New Roman"/>
          <w:b/>
          <w:bCs/>
        </w:rPr>
        <w:t>BtX</w:t>
      </w:r>
      <w:proofErr w:type="spellEnd"/>
      <w:r w:rsidRPr="0024535D">
        <w:rPr>
          <w:rFonts w:eastAsia="Times New Roman"/>
          <w:b/>
          <w:bCs/>
        </w:rPr>
        <w:t xml:space="preserve"> and Orphan Standing Panels</w:t>
      </w:r>
      <w:r w:rsidRPr="0024535D">
        <w:rPr>
          <w:b/>
          <w:bCs/>
        </w:rPr>
        <w:t xml:space="preserve"> (Article</w:t>
      </w:r>
      <w:r w:rsidRPr="0024535D">
        <w:rPr>
          <w:rFonts w:ascii="Arial" w:hAnsi="Arial" w:cs="Arial"/>
          <w:b/>
          <w:bCs/>
        </w:rPr>
        <w:t> </w:t>
      </w:r>
      <w:r w:rsidRPr="0024535D">
        <w:rPr>
          <w:b/>
          <w:bCs/>
        </w:rPr>
        <w:t>52a MDR) (48a IVDR)</w:t>
      </w:r>
    </w:p>
    <w:p w14:paraId="7F802103" w14:textId="77777777" w:rsidR="00680C3E" w:rsidRPr="004A7E5E" w:rsidRDefault="00680C3E" w:rsidP="0024535D">
      <w:pPr>
        <w:rPr>
          <w:rFonts w:eastAsia="Calibri" w:cs="Calibri"/>
          <w:szCs w:val="22"/>
        </w:rPr>
      </w:pPr>
      <w:r w:rsidRPr="004A7E5E">
        <w:rPr>
          <w:rFonts w:eastAsia="Calibri" w:cs="Calibri"/>
          <w:szCs w:val="22"/>
        </w:rPr>
        <w:t>Shared characteristics:</w:t>
      </w:r>
    </w:p>
    <w:p w14:paraId="717F722A" w14:textId="77777777" w:rsidR="00680C3E" w:rsidRPr="004A7E5E" w:rsidRDefault="00680C3E" w:rsidP="00700B94">
      <w:pPr>
        <w:pStyle w:val="Paragraphedeliste"/>
        <w:numPr>
          <w:ilvl w:val="0"/>
          <w:numId w:val="18"/>
        </w:numPr>
      </w:pPr>
      <w:r w:rsidRPr="004A7E5E">
        <w:t>stable membership</w:t>
      </w:r>
    </w:p>
    <w:p w14:paraId="414B9BAF" w14:textId="77777777" w:rsidR="00680C3E" w:rsidRPr="004A7E5E" w:rsidRDefault="00680C3E" w:rsidP="00700B94">
      <w:pPr>
        <w:pStyle w:val="Paragraphedeliste"/>
        <w:numPr>
          <w:ilvl w:val="0"/>
          <w:numId w:val="18"/>
        </w:numPr>
      </w:pPr>
      <w:r w:rsidRPr="004A7E5E">
        <w:t>Member State representation</w:t>
      </w:r>
    </w:p>
    <w:p w14:paraId="0CA06E1B" w14:textId="77777777" w:rsidR="00680C3E" w:rsidRPr="004A7E5E" w:rsidRDefault="00680C3E" w:rsidP="00700B94">
      <w:pPr>
        <w:pStyle w:val="Paragraphedeliste"/>
        <w:numPr>
          <w:ilvl w:val="0"/>
          <w:numId w:val="18"/>
        </w:numPr>
      </w:pPr>
      <w:r w:rsidRPr="004A7E5E">
        <w:t>academic and NB experts under Article</w:t>
      </w:r>
      <w:r w:rsidRPr="008A2627">
        <w:rPr>
          <w:rFonts w:ascii="Arial" w:hAnsi="Arial" w:cs="Arial"/>
        </w:rPr>
        <w:t> </w:t>
      </w:r>
      <w:r w:rsidRPr="004A7E5E">
        <w:t>106(6)</w:t>
      </w:r>
    </w:p>
    <w:p w14:paraId="01ACBA02" w14:textId="77777777" w:rsidR="00680C3E" w:rsidRPr="004A7E5E" w:rsidRDefault="00680C3E" w:rsidP="00700B94">
      <w:pPr>
        <w:pStyle w:val="Paragraphedeliste"/>
        <w:numPr>
          <w:ilvl w:val="0"/>
          <w:numId w:val="18"/>
        </w:numPr>
      </w:pPr>
      <w:r w:rsidRPr="004A7E5E">
        <w:t xml:space="preserve">ability to support </w:t>
      </w:r>
      <w:r w:rsidRPr="008A2627">
        <w:rPr>
          <w:rFonts w:eastAsia="Times New Roman"/>
          <w:b/>
        </w:rPr>
        <w:t>Commission implementing acts</w:t>
      </w:r>
      <w:r w:rsidRPr="004A7E5E">
        <w:t xml:space="preserve"> (Articles</w:t>
      </w:r>
      <w:r w:rsidRPr="008A2627">
        <w:rPr>
          <w:rFonts w:ascii="Arial" w:hAnsi="Arial" w:cs="Arial"/>
        </w:rPr>
        <w:t> </w:t>
      </w:r>
      <w:r w:rsidRPr="004A7E5E">
        <w:t>4a(3), 51a(6), 51b(6) MDR) (3a(3), 47a(6), 47b (6) IVDR)</w:t>
      </w:r>
    </w:p>
    <w:p w14:paraId="5A689B0B" w14:textId="77777777" w:rsidR="00680C3E" w:rsidRPr="004A7E5E" w:rsidRDefault="00680C3E" w:rsidP="00680C3E">
      <w:pPr>
        <w:spacing w:after="0" w:line="256" w:lineRule="auto"/>
        <w:rPr>
          <w:rFonts w:eastAsia="Times New Roman" w:cs="Calibri"/>
          <w:b/>
          <w:bCs/>
          <w:szCs w:val="22"/>
        </w:rPr>
      </w:pPr>
    </w:p>
    <w:p w14:paraId="7A10D74D" w14:textId="77777777" w:rsidR="00680C3E" w:rsidRPr="0024535D" w:rsidRDefault="00680C3E" w:rsidP="00680C3E">
      <w:pPr>
        <w:keepNext/>
        <w:keepLines/>
        <w:spacing w:before="40" w:after="0" w:line="256" w:lineRule="auto"/>
        <w:outlineLvl w:val="3"/>
        <w:rPr>
          <w:rStyle w:val="Accentuationintense"/>
        </w:rPr>
      </w:pPr>
      <w:r w:rsidRPr="0024535D">
        <w:rPr>
          <w:rStyle w:val="Accentuationintense"/>
        </w:rPr>
        <w:lastRenderedPageBreak/>
        <w:t>Clinical Expert Panels (blue box)</w:t>
      </w:r>
    </w:p>
    <w:p w14:paraId="7320A1CD" w14:textId="77777777" w:rsidR="00680C3E" w:rsidRPr="004A7E5E" w:rsidRDefault="00680C3E" w:rsidP="0024535D">
      <w:r w:rsidRPr="004A7E5E">
        <w:t>Advisory functions under:</w:t>
      </w:r>
    </w:p>
    <w:p w14:paraId="45EC26FD" w14:textId="77777777" w:rsidR="00680C3E" w:rsidRPr="004A7E5E" w:rsidRDefault="00680C3E" w:rsidP="00700B94">
      <w:pPr>
        <w:pStyle w:val="Paragraphedeliste"/>
        <w:numPr>
          <w:ilvl w:val="0"/>
          <w:numId w:val="19"/>
        </w:numPr>
      </w:pPr>
      <w:r w:rsidRPr="008A2627">
        <w:rPr>
          <w:rFonts w:eastAsia="Times New Roman"/>
          <w:b/>
        </w:rPr>
        <w:t>Article</w:t>
      </w:r>
      <w:r w:rsidRPr="008A2627">
        <w:rPr>
          <w:rFonts w:ascii="Arial" w:eastAsia="Times New Roman" w:hAnsi="Arial" w:cs="Arial"/>
          <w:b/>
        </w:rPr>
        <w:t> </w:t>
      </w:r>
      <w:r w:rsidRPr="008A2627">
        <w:rPr>
          <w:rFonts w:eastAsia="Times New Roman"/>
          <w:b/>
        </w:rPr>
        <w:t>61(2) MDR</w:t>
      </w:r>
      <w:r w:rsidRPr="004A7E5E">
        <w:t xml:space="preserve"> – early scientific input on clinical development</w:t>
      </w:r>
    </w:p>
    <w:p w14:paraId="0FA098F2" w14:textId="77777777" w:rsidR="00680C3E" w:rsidRPr="004A7E5E" w:rsidRDefault="00680C3E" w:rsidP="00700B94">
      <w:pPr>
        <w:pStyle w:val="Paragraphedeliste"/>
        <w:numPr>
          <w:ilvl w:val="0"/>
          <w:numId w:val="19"/>
        </w:numPr>
      </w:pPr>
      <w:r w:rsidRPr="008A2627">
        <w:rPr>
          <w:rFonts w:eastAsia="Times New Roman"/>
          <w:b/>
        </w:rPr>
        <w:t>Article</w:t>
      </w:r>
      <w:r w:rsidRPr="008A2627">
        <w:rPr>
          <w:rFonts w:ascii="Arial" w:eastAsia="Times New Roman" w:hAnsi="Arial" w:cs="Arial"/>
          <w:b/>
        </w:rPr>
        <w:t> </w:t>
      </w:r>
      <w:r w:rsidRPr="008A2627">
        <w:rPr>
          <w:rFonts w:eastAsia="Times New Roman"/>
          <w:b/>
        </w:rPr>
        <w:t>56 IVDR</w:t>
      </w:r>
      <w:r w:rsidRPr="004A7E5E">
        <w:t xml:space="preserve"> – early scientific input on performance evaluation</w:t>
      </w:r>
    </w:p>
    <w:p w14:paraId="1F183802" w14:textId="77777777" w:rsidR="00680C3E" w:rsidRPr="004A7E5E" w:rsidRDefault="00680C3E" w:rsidP="0024535D">
      <w:r w:rsidRPr="004A7E5E">
        <w:t xml:space="preserve">Explicitly </w:t>
      </w:r>
      <w:r w:rsidRPr="004A7E5E">
        <w:rPr>
          <w:rFonts w:eastAsia="Times New Roman"/>
          <w:b/>
        </w:rPr>
        <w:t>not CECP</w:t>
      </w:r>
      <w:r w:rsidRPr="004A7E5E">
        <w:t>, consistent with Article</w:t>
      </w:r>
      <w:r w:rsidRPr="004A7E5E">
        <w:rPr>
          <w:rFonts w:ascii="Arial" w:hAnsi="Arial" w:cs="Arial"/>
        </w:rPr>
        <w:t> </w:t>
      </w:r>
      <w:r w:rsidRPr="004A7E5E">
        <w:t>106(6).</w:t>
      </w:r>
    </w:p>
    <w:p w14:paraId="7F297220" w14:textId="77777777" w:rsidR="00680C3E" w:rsidRPr="004A7E5E" w:rsidRDefault="00680C3E" w:rsidP="00680C3E">
      <w:pPr>
        <w:spacing w:after="0" w:line="256" w:lineRule="auto"/>
        <w:rPr>
          <w:rFonts w:eastAsia="Times New Roman" w:cs="Calibri"/>
          <w:b/>
          <w:bCs/>
          <w:szCs w:val="22"/>
        </w:rPr>
      </w:pPr>
    </w:p>
    <w:p w14:paraId="740C27D0" w14:textId="77777777" w:rsidR="00680C3E" w:rsidRPr="0024535D" w:rsidRDefault="00680C3E" w:rsidP="00680C3E">
      <w:pPr>
        <w:keepNext/>
        <w:keepLines/>
        <w:spacing w:before="40" w:after="0" w:line="256" w:lineRule="auto"/>
        <w:outlineLvl w:val="3"/>
        <w:rPr>
          <w:rStyle w:val="Accentuationintense"/>
        </w:rPr>
      </w:pPr>
      <w:r w:rsidRPr="0024535D">
        <w:rPr>
          <w:rStyle w:val="Accentuationintense"/>
        </w:rPr>
        <w:t>Central Expert List (purple box)</w:t>
      </w:r>
    </w:p>
    <w:p w14:paraId="11604FE0" w14:textId="77777777" w:rsidR="00680C3E" w:rsidRPr="004A7E5E" w:rsidRDefault="00680C3E" w:rsidP="0024535D">
      <w:pPr>
        <w:rPr>
          <w:rFonts w:eastAsia="Calibri" w:cs="Calibri"/>
          <w:szCs w:val="22"/>
        </w:rPr>
      </w:pPr>
      <w:r w:rsidRPr="004A7E5E">
        <w:rPr>
          <w:rFonts w:eastAsia="Calibri" w:cs="Calibri"/>
          <w:szCs w:val="22"/>
        </w:rPr>
        <w:t>Article</w:t>
      </w:r>
      <w:r w:rsidRPr="004A7E5E">
        <w:rPr>
          <w:rFonts w:ascii="Arial" w:eastAsia="Calibri" w:hAnsi="Arial" w:cs="Arial"/>
          <w:szCs w:val="22"/>
        </w:rPr>
        <w:t> </w:t>
      </w:r>
      <w:r w:rsidRPr="004A7E5E">
        <w:rPr>
          <w:rFonts w:eastAsia="Calibri" w:cs="Calibri"/>
          <w:szCs w:val="22"/>
        </w:rPr>
        <w:t>106(2) pool of cross</w:t>
      </w:r>
      <w:r w:rsidRPr="004A7E5E">
        <w:rPr>
          <w:rFonts w:eastAsia="Calibri" w:cs="Calibri"/>
          <w:szCs w:val="22"/>
        </w:rPr>
        <w:noBreakHyphen/>
        <w:t>cutting technical and regulatory experts.</w:t>
      </w:r>
    </w:p>
    <w:p w14:paraId="36E4FAD9" w14:textId="77777777" w:rsidR="00680C3E" w:rsidRPr="004A7E5E" w:rsidRDefault="00680C3E" w:rsidP="00680C3E">
      <w:pPr>
        <w:spacing w:after="0" w:line="256" w:lineRule="auto"/>
        <w:rPr>
          <w:rFonts w:eastAsia="Times New Roman" w:cs="Calibri"/>
          <w:b/>
          <w:bCs/>
          <w:szCs w:val="22"/>
        </w:rPr>
      </w:pPr>
    </w:p>
    <w:p w14:paraId="097832B3" w14:textId="77777777" w:rsidR="00680C3E" w:rsidRPr="0024535D" w:rsidRDefault="00680C3E" w:rsidP="00680C3E">
      <w:pPr>
        <w:keepNext/>
        <w:keepLines/>
        <w:spacing w:before="40" w:after="0" w:line="256" w:lineRule="auto"/>
        <w:outlineLvl w:val="3"/>
        <w:rPr>
          <w:rStyle w:val="Accentuationintense"/>
        </w:rPr>
      </w:pPr>
      <w:r w:rsidRPr="0024535D">
        <w:rPr>
          <w:rStyle w:val="Accentuationintense"/>
        </w:rPr>
        <w:t>Overall Interaction</w:t>
      </w:r>
    </w:p>
    <w:p w14:paraId="633DA4AA" w14:textId="77777777" w:rsidR="00680C3E" w:rsidRPr="004A7E5E" w:rsidRDefault="00680C3E" w:rsidP="0024535D">
      <w:pPr>
        <w:rPr>
          <w:rFonts w:eastAsia="Calibri" w:cs="Calibri"/>
          <w:szCs w:val="22"/>
        </w:rPr>
      </w:pPr>
      <w:r w:rsidRPr="004A7E5E">
        <w:rPr>
          <w:rFonts w:eastAsia="Calibri" w:cs="Calibri"/>
          <w:szCs w:val="22"/>
        </w:rPr>
        <w:t>The structure ensures:</w:t>
      </w:r>
    </w:p>
    <w:p w14:paraId="4EE2EAF8" w14:textId="77777777" w:rsidR="00680C3E" w:rsidRPr="004A7E5E" w:rsidRDefault="00680C3E" w:rsidP="00700B94">
      <w:pPr>
        <w:pStyle w:val="Paragraphedeliste"/>
        <w:numPr>
          <w:ilvl w:val="0"/>
          <w:numId w:val="20"/>
        </w:numPr>
      </w:pPr>
      <w:r w:rsidRPr="004A7E5E">
        <w:t>consistent classification and borderline decisions (Articles</w:t>
      </w:r>
      <w:r w:rsidRPr="008A2627">
        <w:rPr>
          <w:rFonts w:ascii="Arial" w:hAnsi="Arial" w:cs="Arial"/>
        </w:rPr>
        <w:t> </w:t>
      </w:r>
      <w:r w:rsidRPr="004A7E5E">
        <w:t>4a, 51a, 51b MDR) (3a, 47a, 47b IVDR)</w:t>
      </w:r>
    </w:p>
    <w:p w14:paraId="725D046E" w14:textId="77777777" w:rsidR="00680C3E" w:rsidRPr="004A7E5E" w:rsidRDefault="00680C3E" w:rsidP="00700B94">
      <w:pPr>
        <w:pStyle w:val="Paragraphedeliste"/>
        <w:numPr>
          <w:ilvl w:val="0"/>
          <w:numId w:val="20"/>
        </w:numPr>
      </w:pPr>
      <w:r w:rsidRPr="004A7E5E">
        <w:t xml:space="preserve">structured </w:t>
      </w:r>
      <w:proofErr w:type="spellStart"/>
      <w:r w:rsidRPr="004A7E5E">
        <w:t>BtX</w:t>
      </w:r>
      <w:proofErr w:type="spellEnd"/>
      <w:r w:rsidRPr="004A7E5E">
        <w:t>/Orphan pathways (Articles</w:t>
      </w:r>
      <w:r w:rsidRPr="008A2627">
        <w:rPr>
          <w:rFonts w:ascii="Arial" w:hAnsi="Arial" w:cs="Arial"/>
        </w:rPr>
        <w:t> </w:t>
      </w:r>
      <w:r w:rsidRPr="004A7E5E">
        <w:t>52a MDR) (48a IVDR)</w:t>
      </w:r>
    </w:p>
    <w:p w14:paraId="757FF614" w14:textId="77777777" w:rsidR="00680C3E" w:rsidRPr="004A7E5E" w:rsidRDefault="00680C3E" w:rsidP="00700B94">
      <w:pPr>
        <w:pStyle w:val="Paragraphedeliste"/>
        <w:numPr>
          <w:ilvl w:val="0"/>
          <w:numId w:val="20"/>
        </w:numPr>
      </w:pPr>
      <w:r w:rsidRPr="004A7E5E">
        <w:t>consistent scientific advice for clinical/performance development</w:t>
      </w:r>
    </w:p>
    <w:p w14:paraId="491062DD" w14:textId="77777777" w:rsidR="00680C3E" w:rsidRPr="004A7E5E" w:rsidRDefault="00680C3E" w:rsidP="00700B94">
      <w:pPr>
        <w:pStyle w:val="Paragraphedeliste"/>
        <w:numPr>
          <w:ilvl w:val="0"/>
          <w:numId w:val="20"/>
        </w:numPr>
      </w:pPr>
      <w:r w:rsidRPr="004A7E5E">
        <w:t>access to specialised expertise across all panels</w:t>
      </w:r>
    </w:p>
    <w:p w14:paraId="14AD8D08" w14:textId="77777777" w:rsidR="00680C3E" w:rsidRPr="004A7E5E" w:rsidRDefault="00680C3E" w:rsidP="00700B94">
      <w:pPr>
        <w:pStyle w:val="Paragraphedeliste"/>
        <w:numPr>
          <w:ilvl w:val="0"/>
          <w:numId w:val="20"/>
        </w:numPr>
      </w:pPr>
      <w:r w:rsidRPr="004A7E5E">
        <w:t>EMA secretariat support under Article</w:t>
      </w:r>
      <w:r w:rsidRPr="008A2627">
        <w:rPr>
          <w:rFonts w:ascii="Arial" w:hAnsi="Arial" w:cs="Arial"/>
        </w:rPr>
        <w:t> </w:t>
      </w:r>
      <w:r w:rsidRPr="004A7E5E">
        <w:t>106(4)</w:t>
      </w:r>
    </w:p>
    <w:p w14:paraId="61083017" w14:textId="77777777" w:rsidR="00680C3E" w:rsidRPr="004A7E5E" w:rsidRDefault="00680C3E" w:rsidP="00700B94">
      <w:pPr>
        <w:pStyle w:val="Paragraphedeliste"/>
        <w:numPr>
          <w:ilvl w:val="0"/>
          <w:numId w:val="20"/>
        </w:numPr>
      </w:pPr>
      <w:r w:rsidRPr="004A7E5E">
        <w:t>Relevant NB experts can contribute without affecting NB organisational capacity.</w:t>
      </w:r>
    </w:p>
    <w:p w14:paraId="1229C770" w14:textId="77777777" w:rsidR="00680C3E" w:rsidRPr="004A7E5E" w:rsidRDefault="00680C3E" w:rsidP="0024535D">
      <w:pPr>
        <w:rPr>
          <w:rFonts w:eastAsia="Calibri" w:cs="Times New Roman"/>
        </w:rPr>
      </w:pPr>
    </w:p>
    <w:p w14:paraId="67D4C86F" w14:textId="77777777" w:rsidR="00680C3E" w:rsidRPr="004A7E5E" w:rsidRDefault="00680C3E" w:rsidP="0024535D">
      <w:pPr>
        <w:pStyle w:val="Titre2"/>
      </w:pPr>
      <w:bookmarkStart w:id="146" w:name="_Toc225110539"/>
      <w:bookmarkStart w:id="147" w:name="_Toc226533687"/>
      <w:r w:rsidRPr="004A7E5E">
        <w:t>Allow utilization of external expertise for rare or highly specialised IVDs and medical devices</w:t>
      </w:r>
      <w:bookmarkEnd w:id="146"/>
      <w:bookmarkEnd w:id="147"/>
    </w:p>
    <w:p w14:paraId="691A45BB" w14:textId="40BA9509" w:rsidR="00680C3E" w:rsidRDefault="00680C3E" w:rsidP="0024535D">
      <w:pPr>
        <w:rPr>
          <w:lang w:eastAsia="en-GB"/>
        </w:rPr>
      </w:pPr>
      <w:r w:rsidRPr="004A7E5E">
        <w:rPr>
          <w:lang w:eastAsia="en-GB"/>
        </w:rPr>
        <w:t>For</w:t>
      </w:r>
      <w:r w:rsidR="00872940" w:rsidRPr="00872940">
        <w:rPr>
          <w:lang w:eastAsia="en-GB"/>
        </w:rPr>
        <w:t xml:space="preserve"> rare or highly specialised devices where EU expertise is limited, Expert Panels should be permitted to engage external experts, subject to documented justification and EMA approval, to ensure appropriate scientific competence</w:t>
      </w:r>
      <w:r w:rsidRPr="004A7E5E">
        <w:rPr>
          <w:lang w:eastAsia="en-GB"/>
        </w:rPr>
        <w:t>.</w:t>
      </w:r>
    </w:p>
    <w:p w14:paraId="34A2EB6F" w14:textId="77777777" w:rsidR="00731FA0" w:rsidRPr="004A7E5E" w:rsidRDefault="00731FA0" w:rsidP="0024535D">
      <w:pPr>
        <w:rPr>
          <w:lang w:eastAsia="en-GB"/>
        </w:rPr>
      </w:pPr>
    </w:p>
    <w:p w14:paraId="2FF1F6FE" w14:textId="77777777" w:rsidR="00680C3E" w:rsidRPr="004A7E5E" w:rsidRDefault="00680C3E" w:rsidP="0024535D">
      <w:pPr>
        <w:pStyle w:val="Titre2"/>
      </w:pPr>
      <w:bookmarkStart w:id="148" w:name="_Toc225110540"/>
      <w:bookmarkStart w:id="149" w:name="_Toc226533688"/>
      <w:r w:rsidRPr="004A7E5E">
        <w:t>Allow transparency and exchange between NBs and Expert Panels</w:t>
      </w:r>
      <w:bookmarkEnd w:id="148"/>
      <w:bookmarkEnd w:id="149"/>
    </w:p>
    <w:p w14:paraId="709D42DD" w14:textId="77777777" w:rsidR="00680C3E" w:rsidRPr="004A7E5E" w:rsidRDefault="00680C3E" w:rsidP="0024535D">
      <w:pPr>
        <w:rPr>
          <w:lang w:eastAsia="en-GB"/>
        </w:rPr>
      </w:pPr>
      <w:r w:rsidRPr="004A7E5E">
        <w:rPr>
          <w:lang w:eastAsia="en-GB"/>
        </w:rPr>
        <w:t>Experience shows that limited interaction between expert panels and NBs can lead to divergent scientific views, particularly in complex cases or where an expert panel intends to issue a negative opinion. The absence of a structured exchange mechanism may result in misunderstandings and reduced confidence in the consistency of assessments.</w:t>
      </w:r>
    </w:p>
    <w:p w14:paraId="5C1B1B42" w14:textId="6DF2CA10" w:rsidR="00680C3E" w:rsidRPr="0024535D" w:rsidRDefault="00680C3E" w:rsidP="0024535D">
      <w:pPr>
        <w:rPr>
          <w:rStyle w:val="Accentuationintense"/>
        </w:rPr>
      </w:pPr>
      <w:r w:rsidRPr="0024535D">
        <w:rPr>
          <w:rStyle w:val="Accentuationintense"/>
        </w:rPr>
        <w:t>Team</w:t>
      </w:r>
      <w:r w:rsidRPr="0024535D">
        <w:rPr>
          <w:rStyle w:val="Accentuationintense"/>
        </w:rPr>
        <w:noBreakHyphen/>
        <w:t>NB propos</w:t>
      </w:r>
      <w:r w:rsidR="00EA29ED">
        <w:rPr>
          <w:rStyle w:val="Accentuationintense"/>
        </w:rPr>
        <w:t>al:</w:t>
      </w:r>
    </w:p>
    <w:p w14:paraId="16F1A04D" w14:textId="77777777" w:rsidR="00680C3E" w:rsidRPr="004A7E5E" w:rsidRDefault="00680C3E" w:rsidP="00700B94">
      <w:pPr>
        <w:pStyle w:val="Paragraphedeliste"/>
        <w:numPr>
          <w:ilvl w:val="0"/>
          <w:numId w:val="21"/>
        </w:numPr>
        <w:rPr>
          <w:lang w:eastAsia="en-GB"/>
        </w:rPr>
      </w:pPr>
      <w:r w:rsidRPr="008A2627">
        <w:rPr>
          <w:b/>
          <w:bCs/>
          <w:lang w:eastAsia="en-GB"/>
        </w:rPr>
        <w:t>An optional structured pre</w:t>
      </w:r>
      <w:r w:rsidRPr="008A2627">
        <w:rPr>
          <w:b/>
          <w:bCs/>
          <w:lang w:eastAsia="en-GB"/>
        </w:rPr>
        <w:noBreakHyphen/>
        <w:t>opinion exchange</w:t>
      </w:r>
      <w:r w:rsidRPr="004A7E5E">
        <w:rPr>
          <w:lang w:eastAsia="en-GB"/>
        </w:rPr>
        <w:t>, allowing the expert panel to request clarifications from the NB—and vice versa—before the panel adopts a negative or significantly divergent scientific opinion.</w:t>
      </w:r>
    </w:p>
    <w:p w14:paraId="4E9F5DF9" w14:textId="77777777" w:rsidR="00680C3E" w:rsidRPr="009216E7" w:rsidRDefault="00680C3E" w:rsidP="00700B94">
      <w:pPr>
        <w:pStyle w:val="Paragraphedeliste"/>
        <w:numPr>
          <w:ilvl w:val="0"/>
          <w:numId w:val="21"/>
        </w:numPr>
        <w:rPr>
          <w:lang w:eastAsia="en-GB"/>
        </w:rPr>
      </w:pPr>
      <w:r w:rsidRPr="008A2627">
        <w:rPr>
          <w:b/>
          <w:bCs/>
          <w:lang w:eastAsia="en-GB"/>
        </w:rPr>
        <w:t>A formal mechanism for exchange of views in complex cases</w:t>
      </w:r>
      <w:r w:rsidRPr="004A7E5E">
        <w:rPr>
          <w:lang w:eastAsia="en-GB"/>
        </w:rPr>
        <w:t xml:space="preserve">, ensuring both bodies </w:t>
      </w:r>
      <w:r w:rsidRPr="009216E7">
        <w:rPr>
          <w:lang w:eastAsia="en-GB"/>
        </w:rPr>
        <w:t>can explain the evidence base and its interpretation before positions become final.</w:t>
      </w:r>
    </w:p>
    <w:p w14:paraId="52E4F58B" w14:textId="7A78357D" w:rsidR="00680C3E" w:rsidRPr="009216E7" w:rsidRDefault="00680C3E" w:rsidP="00700B94">
      <w:pPr>
        <w:pStyle w:val="Paragraphedeliste"/>
        <w:numPr>
          <w:ilvl w:val="0"/>
          <w:numId w:val="21"/>
        </w:numPr>
        <w:rPr>
          <w:lang w:eastAsia="en-GB"/>
        </w:rPr>
      </w:pPr>
      <w:r w:rsidRPr="009216E7">
        <w:rPr>
          <w:b/>
          <w:bCs/>
          <w:lang w:eastAsia="en-GB"/>
        </w:rPr>
        <w:t>Publication of anonymised summaries</w:t>
      </w:r>
      <w:r w:rsidRPr="009216E7">
        <w:rPr>
          <w:lang w:eastAsia="en-GB"/>
        </w:rPr>
        <w:t xml:space="preserve"> of such exchanges to support consistency and predictability across the system.</w:t>
      </w:r>
      <w:r w:rsidR="0017717B" w:rsidRPr="009216E7">
        <w:rPr>
          <w:lang w:eastAsia="en-GB"/>
        </w:rPr>
        <w:t xml:space="preserve"> </w:t>
      </w:r>
      <w:r w:rsidR="0017717B" w:rsidRPr="009216E7">
        <w:rPr>
          <w:i/>
          <w:lang w:eastAsia="en-GB"/>
        </w:rPr>
        <w:t>(see Table, Ref. no. 39</w:t>
      </w:r>
      <w:r w:rsidR="0017717B" w:rsidRPr="009216E7">
        <w:rPr>
          <w:i/>
          <w:iCs w:val="0"/>
          <w:lang w:eastAsia="en-GB"/>
        </w:rPr>
        <w:t>a</w:t>
      </w:r>
      <w:r w:rsidR="0017717B" w:rsidRPr="009216E7">
        <w:rPr>
          <w:i/>
          <w:lang w:eastAsia="en-GB"/>
        </w:rPr>
        <w:t>)</w:t>
      </w:r>
    </w:p>
    <w:p w14:paraId="413F5E1C" w14:textId="77777777" w:rsidR="00731FA0" w:rsidRPr="00731FA0" w:rsidRDefault="00731FA0" w:rsidP="00731FA0">
      <w:pPr>
        <w:rPr>
          <w:highlight w:val="yellow"/>
          <w:lang w:eastAsia="en-GB"/>
        </w:rPr>
      </w:pPr>
    </w:p>
    <w:p w14:paraId="617BC0D0" w14:textId="77777777" w:rsidR="00680C3E" w:rsidRPr="004A7E5E" w:rsidRDefault="00680C3E" w:rsidP="0024535D">
      <w:pPr>
        <w:pStyle w:val="Titre2"/>
      </w:pPr>
      <w:bookmarkStart w:id="150" w:name="_Toc225110541"/>
      <w:bookmarkStart w:id="151" w:name="_Toc226533689"/>
      <w:r w:rsidRPr="004A7E5E">
        <w:lastRenderedPageBreak/>
        <w:t>Reconsider methodology for literature screening and NBCG-Med work sharing</w:t>
      </w:r>
      <w:bookmarkEnd w:id="150"/>
      <w:bookmarkEnd w:id="151"/>
      <w:r w:rsidRPr="004A7E5E">
        <w:t xml:space="preserve"> </w:t>
      </w:r>
    </w:p>
    <w:p w14:paraId="63A0D98E" w14:textId="77777777" w:rsidR="00680C3E" w:rsidRPr="004A7E5E" w:rsidRDefault="00680C3E" w:rsidP="0024535D">
      <w:pPr>
        <w:rPr>
          <w:lang w:eastAsia="en-GB"/>
        </w:rPr>
      </w:pPr>
      <w:r w:rsidRPr="004A7E5E">
        <w:rPr>
          <w:lang w:eastAsia="en-GB"/>
        </w:rPr>
        <w:t>While enhanced coordination on literature screening can support greater consistency, several practical considerations need to be taken into account:</w:t>
      </w:r>
    </w:p>
    <w:p w14:paraId="2CC70F4D" w14:textId="77777777" w:rsidR="00680C3E" w:rsidRPr="004A7E5E" w:rsidRDefault="00680C3E" w:rsidP="00700B94">
      <w:pPr>
        <w:pStyle w:val="Paragraphedeliste"/>
        <w:numPr>
          <w:ilvl w:val="0"/>
          <w:numId w:val="22"/>
        </w:numPr>
        <w:rPr>
          <w:lang w:eastAsia="en-GB"/>
        </w:rPr>
      </w:pPr>
      <w:r w:rsidRPr="004A7E5E">
        <w:rPr>
          <w:lang w:eastAsia="en-GB"/>
        </w:rPr>
        <w:t xml:space="preserve">NBs differ significantly in </w:t>
      </w:r>
      <w:r w:rsidRPr="008A2627">
        <w:rPr>
          <w:b/>
          <w:bCs/>
          <w:lang w:eastAsia="en-GB"/>
        </w:rPr>
        <w:t>scope, designation, and manufacturer portfolios</w:t>
      </w:r>
      <w:r w:rsidRPr="004A7E5E">
        <w:rPr>
          <w:lang w:eastAsia="en-GB"/>
        </w:rPr>
        <w:t>, which means that individual literature screening activities must ultimately be performed within each NB.</w:t>
      </w:r>
    </w:p>
    <w:p w14:paraId="6BA2DA55" w14:textId="77777777" w:rsidR="00680C3E" w:rsidRPr="004A7E5E" w:rsidRDefault="00680C3E" w:rsidP="00700B94">
      <w:pPr>
        <w:pStyle w:val="Paragraphedeliste"/>
        <w:numPr>
          <w:ilvl w:val="0"/>
          <w:numId w:val="22"/>
        </w:numPr>
        <w:rPr>
          <w:lang w:eastAsia="en-GB"/>
        </w:rPr>
      </w:pPr>
      <w:r w:rsidRPr="004A7E5E">
        <w:rPr>
          <w:lang w:eastAsia="en-GB"/>
        </w:rPr>
        <w:t xml:space="preserve">the sheer </w:t>
      </w:r>
      <w:r w:rsidRPr="008A2627">
        <w:rPr>
          <w:b/>
          <w:bCs/>
          <w:lang w:eastAsia="en-GB"/>
        </w:rPr>
        <w:t>breadth of device types and clinical applications</w:t>
      </w:r>
      <w:r w:rsidRPr="004A7E5E">
        <w:rPr>
          <w:lang w:eastAsia="en-GB"/>
        </w:rPr>
        <w:t xml:space="preserve"> makes a fully centralised or uniform screening system impractical without substantial and stable resources.</w:t>
      </w:r>
    </w:p>
    <w:p w14:paraId="619ED528" w14:textId="0C5D6D90" w:rsidR="00680C3E" w:rsidRPr="004A7E5E" w:rsidRDefault="00680C3E" w:rsidP="00700B94">
      <w:pPr>
        <w:pStyle w:val="Paragraphedeliste"/>
        <w:numPr>
          <w:ilvl w:val="0"/>
          <w:numId w:val="22"/>
        </w:numPr>
        <w:rPr>
          <w:lang w:eastAsia="en-GB"/>
        </w:rPr>
      </w:pPr>
      <w:r w:rsidRPr="008A2627">
        <w:rPr>
          <w:b/>
          <w:bCs/>
          <w:lang w:eastAsia="en-GB"/>
        </w:rPr>
        <w:t>copyright constraints</w:t>
      </w:r>
      <w:r w:rsidRPr="004A7E5E">
        <w:rPr>
          <w:lang w:eastAsia="en-GB"/>
        </w:rPr>
        <w:t xml:space="preserve"> may limit the extent to which journal access or full</w:t>
      </w:r>
      <w:r w:rsidRPr="004A7E5E">
        <w:rPr>
          <w:lang w:eastAsia="en-GB"/>
        </w:rPr>
        <w:noBreakHyphen/>
        <w:t>text articles can be shared across organisations</w:t>
      </w:r>
      <w:r w:rsidR="00D274A7">
        <w:rPr>
          <w:lang w:eastAsia="en-GB"/>
        </w:rPr>
        <w:t xml:space="preserve"> </w:t>
      </w:r>
      <w:r w:rsidR="00D274A7" w:rsidRPr="00D274A7">
        <w:rPr>
          <w:lang w:eastAsia="en-GB"/>
        </w:rPr>
        <w:t>when not all have paid for access to the information</w:t>
      </w:r>
      <w:r w:rsidRPr="004A7E5E">
        <w:rPr>
          <w:lang w:eastAsia="en-GB"/>
        </w:rPr>
        <w:t>.</w:t>
      </w:r>
    </w:p>
    <w:p w14:paraId="25643720" w14:textId="77777777" w:rsidR="00680C3E" w:rsidRPr="004A7E5E" w:rsidRDefault="00680C3E" w:rsidP="00700B94">
      <w:pPr>
        <w:pStyle w:val="Paragraphedeliste"/>
        <w:numPr>
          <w:ilvl w:val="0"/>
          <w:numId w:val="22"/>
        </w:numPr>
        <w:rPr>
          <w:lang w:eastAsia="en-GB"/>
        </w:rPr>
      </w:pPr>
      <w:r w:rsidRPr="008A2627">
        <w:rPr>
          <w:b/>
          <w:bCs/>
          <w:lang w:eastAsia="en-GB"/>
        </w:rPr>
        <w:t>AI</w:t>
      </w:r>
      <w:r w:rsidRPr="008A2627">
        <w:rPr>
          <w:b/>
          <w:bCs/>
          <w:lang w:eastAsia="en-GB"/>
        </w:rPr>
        <w:noBreakHyphen/>
        <w:t>based tools</w:t>
      </w:r>
      <w:r w:rsidRPr="004A7E5E">
        <w:rPr>
          <w:lang w:eastAsia="en-GB"/>
        </w:rPr>
        <w:t xml:space="preserve"> can support screening workflows but cannot replace expert regulatory judgement or contextual clinical assessment.</w:t>
      </w:r>
    </w:p>
    <w:p w14:paraId="10A38711" w14:textId="77777777" w:rsidR="00680C3E" w:rsidRPr="004A7E5E" w:rsidRDefault="00680C3E" w:rsidP="0024535D">
      <w:pPr>
        <w:rPr>
          <w:lang w:eastAsia="en-GB"/>
        </w:rPr>
      </w:pPr>
      <w:r w:rsidRPr="004A7E5E">
        <w:rPr>
          <w:lang w:eastAsia="en-GB"/>
        </w:rPr>
        <w:t xml:space="preserve">These factors indicate that coordination is valuable but </w:t>
      </w:r>
      <w:r w:rsidRPr="004A7E5E">
        <w:rPr>
          <w:b/>
          <w:bCs/>
          <w:lang w:eastAsia="en-GB"/>
        </w:rPr>
        <w:t>cannot substitute for NB</w:t>
      </w:r>
      <w:r w:rsidRPr="004A7E5E">
        <w:rPr>
          <w:b/>
          <w:bCs/>
          <w:lang w:eastAsia="en-GB"/>
        </w:rPr>
        <w:noBreakHyphen/>
        <w:t>specific screening responsibilities</w:t>
      </w:r>
      <w:r w:rsidRPr="004A7E5E">
        <w:rPr>
          <w:lang w:eastAsia="en-GB"/>
        </w:rPr>
        <w:t xml:space="preserve"> aligned with their designation and client base.</w:t>
      </w:r>
    </w:p>
    <w:p w14:paraId="6C8152BE" w14:textId="77777777" w:rsidR="00680C3E" w:rsidRPr="004A7E5E" w:rsidRDefault="00680C3E" w:rsidP="00680C3E">
      <w:pPr>
        <w:spacing w:after="0" w:line="300" w:lineRule="atLeast"/>
        <w:rPr>
          <w:rFonts w:eastAsia="Times New Roman" w:cs="Calibri"/>
          <w:b/>
          <w:bCs/>
          <w:iCs w:val="0"/>
          <w:szCs w:val="22"/>
          <w:lang w:eastAsia="en-GB"/>
        </w:rPr>
      </w:pPr>
    </w:p>
    <w:p w14:paraId="38502C60" w14:textId="4E88778A" w:rsidR="00680C3E" w:rsidRPr="0024535D" w:rsidRDefault="00680C3E" w:rsidP="0024535D">
      <w:pPr>
        <w:rPr>
          <w:rStyle w:val="Accentuationintense"/>
        </w:rPr>
      </w:pPr>
      <w:r w:rsidRPr="0024535D">
        <w:rPr>
          <w:rStyle w:val="Accentuationintense"/>
        </w:rPr>
        <w:t>Team</w:t>
      </w:r>
      <w:r w:rsidRPr="0024535D">
        <w:rPr>
          <w:rStyle w:val="Accentuationintense"/>
        </w:rPr>
        <w:noBreakHyphen/>
        <w:t>NB Propos</w:t>
      </w:r>
      <w:r w:rsidR="00EA29ED" w:rsidRPr="0024535D">
        <w:rPr>
          <w:rStyle w:val="Accentuationintense"/>
        </w:rPr>
        <w:t>al:</w:t>
      </w:r>
    </w:p>
    <w:p w14:paraId="76C32155" w14:textId="77777777" w:rsidR="00680C3E" w:rsidRPr="004A7E5E" w:rsidRDefault="00680C3E" w:rsidP="0024535D">
      <w:pPr>
        <w:rPr>
          <w:lang w:eastAsia="en-GB"/>
        </w:rPr>
      </w:pPr>
      <w:r w:rsidRPr="004A7E5E">
        <w:rPr>
          <w:lang w:eastAsia="en-GB"/>
        </w:rPr>
        <w:t>Team</w:t>
      </w:r>
      <w:r w:rsidRPr="004A7E5E">
        <w:rPr>
          <w:lang w:eastAsia="en-GB"/>
        </w:rPr>
        <w:noBreakHyphen/>
        <w:t>NB supports enhanced coordination while ensuring that final literature screening remains the responsibility of each NB. To balance harmonisation with operational feasibility, Team</w:t>
      </w:r>
      <w:r w:rsidRPr="004A7E5E">
        <w:rPr>
          <w:lang w:eastAsia="en-GB"/>
        </w:rPr>
        <w:noBreakHyphen/>
        <w:t>NB proposes:</w:t>
      </w:r>
    </w:p>
    <w:p w14:paraId="36E2BE81" w14:textId="77777777" w:rsidR="00680C3E" w:rsidRPr="004A7E5E" w:rsidRDefault="00680C3E" w:rsidP="00700B94">
      <w:pPr>
        <w:pStyle w:val="Paragraphedeliste"/>
        <w:numPr>
          <w:ilvl w:val="0"/>
          <w:numId w:val="23"/>
        </w:numPr>
        <w:rPr>
          <w:lang w:eastAsia="en-GB"/>
        </w:rPr>
      </w:pPr>
      <w:r w:rsidRPr="008A2627">
        <w:rPr>
          <w:b/>
          <w:bCs/>
          <w:lang w:eastAsia="en-GB"/>
        </w:rPr>
        <w:t>A risk</w:t>
      </w:r>
      <w:r w:rsidRPr="008A2627">
        <w:rPr>
          <w:b/>
          <w:bCs/>
          <w:lang w:eastAsia="en-GB"/>
        </w:rPr>
        <w:noBreakHyphen/>
        <w:t>based prioritisation approach</w:t>
      </w:r>
      <w:r w:rsidRPr="004A7E5E">
        <w:rPr>
          <w:lang w:eastAsia="en-GB"/>
        </w:rPr>
        <w:t xml:space="preserve"> to literature surveillance, using EMDN codes to focus shared efforts on higher</w:t>
      </w:r>
      <w:r w:rsidRPr="004A7E5E">
        <w:rPr>
          <w:lang w:eastAsia="en-GB"/>
        </w:rPr>
        <w:noBreakHyphen/>
        <w:t>risk categories and/or emerging technologies.</w:t>
      </w:r>
    </w:p>
    <w:p w14:paraId="33B321D2" w14:textId="77777777" w:rsidR="00680C3E" w:rsidRPr="004A7E5E" w:rsidRDefault="00680C3E" w:rsidP="00700B94">
      <w:pPr>
        <w:pStyle w:val="Paragraphedeliste"/>
        <w:numPr>
          <w:ilvl w:val="0"/>
          <w:numId w:val="23"/>
        </w:numPr>
        <w:rPr>
          <w:lang w:eastAsia="en-GB"/>
        </w:rPr>
      </w:pPr>
      <w:r w:rsidRPr="008A2627">
        <w:rPr>
          <w:b/>
          <w:bCs/>
          <w:lang w:eastAsia="en-GB"/>
        </w:rPr>
        <w:t>Development of common best</w:t>
      </w:r>
      <w:r w:rsidRPr="008A2627">
        <w:rPr>
          <w:b/>
          <w:bCs/>
          <w:lang w:eastAsia="en-GB"/>
        </w:rPr>
        <w:noBreakHyphen/>
        <w:t>practice methodologies</w:t>
      </w:r>
      <w:r w:rsidRPr="004A7E5E">
        <w:rPr>
          <w:lang w:eastAsia="en-GB"/>
        </w:rPr>
        <w:t>, templates, and search strategies through NBCG</w:t>
      </w:r>
      <w:r w:rsidRPr="004A7E5E">
        <w:rPr>
          <w:lang w:eastAsia="en-GB"/>
        </w:rPr>
        <w:noBreakHyphen/>
        <w:t>Med, enabling convergence without requiring identical screening outputs.</w:t>
      </w:r>
    </w:p>
    <w:p w14:paraId="7A254FA6" w14:textId="77777777" w:rsidR="00680C3E" w:rsidRPr="004A7E5E" w:rsidRDefault="00680C3E" w:rsidP="00700B94">
      <w:pPr>
        <w:pStyle w:val="Paragraphedeliste"/>
        <w:numPr>
          <w:ilvl w:val="0"/>
          <w:numId w:val="23"/>
        </w:numPr>
        <w:rPr>
          <w:lang w:eastAsia="en-GB"/>
        </w:rPr>
      </w:pPr>
      <w:r w:rsidRPr="008A2627">
        <w:rPr>
          <w:b/>
          <w:bCs/>
          <w:lang w:eastAsia="en-GB"/>
        </w:rPr>
        <w:t>An EU</w:t>
      </w:r>
      <w:r w:rsidRPr="008A2627">
        <w:rPr>
          <w:b/>
          <w:bCs/>
          <w:lang w:eastAsia="en-GB"/>
        </w:rPr>
        <w:noBreakHyphen/>
        <w:t>funded, optional support tool</w:t>
      </w:r>
      <w:r w:rsidRPr="004A7E5E">
        <w:rPr>
          <w:lang w:eastAsia="en-GB"/>
        </w:rPr>
        <w:t xml:space="preserve"> that can assist NBs in identifying relevant publications and safety signals, without imposing mandatory centralised screening.</w:t>
      </w:r>
    </w:p>
    <w:p w14:paraId="046D95C2" w14:textId="77777777" w:rsidR="00680C3E" w:rsidRPr="004A7E5E" w:rsidRDefault="00680C3E" w:rsidP="00700B94">
      <w:pPr>
        <w:pStyle w:val="Paragraphedeliste"/>
        <w:numPr>
          <w:ilvl w:val="0"/>
          <w:numId w:val="23"/>
        </w:numPr>
        <w:rPr>
          <w:lang w:eastAsia="en-GB"/>
        </w:rPr>
      </w:pPr>
      <w:r w:rsidRPr="008A2627">
        <w:rPr>
          <w:b/>
          <w:bCs/>
          <w:lang w:eastAsia="en-GB"/>
        </w:rPr>
        <w:t>Retention of expert human review</w:t>
      </w:r>
      <w:r w:rsidRPr="004A7E5E">
        <w:rPr>
          <w:lang w:eastAsia="en-GB"/>
        </w:rPr>
        <w:t xml:space="preserve"> within each NB, ensuring that literature assessment remains aligned with the NB’s designation, clinical specialties, and specific manufacturer portfolios.</w:t>
      </w:r>
    </w:p>
    <w:p w14:paraId="7B16F017" w14:textId="77777777" w:rsidR="00680C3E" w:rsidRPr="004A7E5E" w:rsidRDefault="00680C3E" w:rsidP="0024535D">
      <w:pPr>
        <w:rPr>
          <w:lang w:eastAsia="en-GB"/>
        </w:rPr>
      </w:pPr>
      <w:r w:rsidRPr="004A7E5E">
        <w:rPr>
          <w:lang w:eastAsia="en-GB"/>
        </w:rPr>
        <w:t xml:space="preserve">This approach promotes </w:t>
      </w:r>
      <w:r w:rsidRPr="004A7E5E">
        <w:rPr>
          <w:b/>
          <w:bCs/>
          <w:lang w:eastAsia="en-GB"/>
        </w:rPr>
        <w:t>harmonisation, efficiency, and proportionality</w:t>
      </w:r>
      <w:r w:rsidRPr="004A7E5E">
        <w:rPr>
          <w:lang w:eastAsia="en-GB"/>
        </w:rPr>
        <w:t>, while respecting the fundamentally decentralised structure of the NB system.</w:t>
      </w:r>
    </w:p>
    <w:p w14:paraId="466ACD58" w14:textId="77777777" w:rsidR="00EA29ED" w:rsidRPr="004A7E5E" w:rsidRDefault="00EA29ED" w:rsidP="0024535D">
      <w:pPr>
        <w:spacing w:after="0" w:line="256" w:lineRule="auto"/>
        <w:rPr>
          <w:rFonts w:eastAsia="Times New Roman" w:cs="Calibri"/>
          <w:iCs w:val="0"/>
          <w:szCs w:val="22"/>
          <w:lang w:eastAsia="en-GB"/>
        </w:rPr>
      </w:pPr>
    </w:p>
    <w:p w14:paraId="2C3398FE" w14:textId="77777777" w:rsidR="00680C3E" w:rsidRPr="004A7E5E" w:rsidRDefault="00680C3E" w:rsidP="0024535D">
      <w:pPr>
        <w:pStyle w:val="Titre2"/>
      </w:pPr>
      <w:bookmarkStart w:id="152" w:name="_Toc226533690"/>
      <w:r w:rsidRPr="004A7E5E">
        <w:t>Clarification of role of NBCG-Med within the MDCG Structure</w:t>
      </w:r>
      <w:bookmarkEnd w:id="152"/>
    </w:p>
    <w:p w14:paraId="539F1188" w14:textId="601557D5" w:rsidR="00DA33A0" w:rsidRDefault="00680C3E" w:rsidP="0024535D">
      <w:pPr>
        <w:rPr>
          <w:lang w:eastAsia="en-GB"/>
        </w:rPr>
      </w:pPr>
      <w:r w:rsidRPr="004A7E5E">
        <w:rPr>
          <w:lang w:eastAsia="en-GB"/>
        </w:rPr>
        <w:t>Team</w:t>
      </w:r>
      <w:r w:rsidRPr="004A7E5E">
        <w:rPr>
          <w:lang w:eastAsia="en-GB"/>
        </w:rPr>
        <w:noBreakHyphen/>
        <w:t>NB supports the Commission’s intention to formalise the role of the Notified Bodies Coordination Group (NBCG</w:t>
      </w:r>
      <w:r w:rsidRPr="004A7E5E">
        <w:rPr>
          <w:lang w:eastAsia="en-GB"/>
        </w:rPr>
        <w:noBreakHyphen/>
        <w:t>Med) within the overall MDCG governance architecture, as foreseen in the proposed Article</w:t>
      </w:r>
      <w:r w:rsidRPr="004A7E5E">
        <w:rPr>
          <w:rFonts w:ascii="Arial" w:hAnsi="Arial" w:cs="Arial"/>
          <w:lang w:eastAsia="en-GB"/>
        </w:rPr>
        <w:t> </w:t>
      </w:r>
      <w:r w:rsidRPr="004A7E5E">
        <w:rPr>
          <w:lang w:eastAsia="en-GB"/>
        </w:rPr>
        <w:t>49 MDR. A clearer structural anchoring of NBCG</w:t>
      </w:r>
      <w:r w:rsidRPr="004A7E5E">
        <w:rPr>
          <w:lang w:eastAsia="en-GB"/>
        </w:rPr>
        <w:noBreakHyphen/>
        <w:t>Med can promote coherence, improve transparency and strengthen the Union</w:t>
      </w:r>
      <w:r w:rsidRPr="004A7E5E">
        <w:rPr>
          <w:lang w:eastAsia="en-GB"/>
        </w:rPr>
        <w:noBreakHyphen/>
        <w:t>level coordination of notified bodies.</w:t>
      </w:r>
    </w:p>
    <w:p w14:paraId="3A2F9BF2" w14:textId="770345F0" w:rsidR="00680C3E" w:rsidRPr="004A7E5E" w:rsidRDefault="00680C3E" w:rsidP="0024535D">
      <w:pPr>
        <w:rPr>
          <w:lang w:eastAsia="en-GB"/>
        </w:rPr>
      </w:pPr>
      <w:r w:rsidRPr="004A7E5E">
        <w:rPr>
          <w:lang w:eastAsia="en-GB"/>
        </w:rPr>
        <w:t>At the same time, it is important to ensure that this integration does not inadvertently limit NBCG</w:t>
      </w:r>
      <w:r w:rsidRPr="004A7E5E">
        <w:rPr>
          <w:lang w:eastAsia="en-GB"/>
        </w:rPr>
        <w:noBreakHyphen/>
        <w:t xml:space="preserve">Med’s ability to perform one of its core functions: development of </w:t>
      </w:r>
      <w:r w:rsidRPr="004A7E5E">
        <w:rPr>
          <w:b/>
          <w:bCs/>
          <w:lang w:eastAsia="en-GB"/>
        </w:rPr>
        <w:t>technical, operational and methodological guidance for notified bodies</w:t>
      </w:r>
      <w:r w:rsidRPr="004A7E5E">
        <w:rPr>
          <w:lang w:eastAsia="en-GB"/>
        </w:rPr>
        <w:t>. Such work often requires:</w:t>
      </w:r>
    </w:p>
    <w:p w14:paraId="4F7E77C4" w14:textId="77777777" w:rsidR="00680C3E" w:rsidRPr="004A7E5E" w:rsidRDefault="00680C3E" w:rsidP="00700B94">
      <w:pPr>
        <w:pStyle w:val="Paragraphedeliste"/>
        <w:numPr>
          <w:ilvl w:val="0"/>
          <w:numId w:val="24"/>
        </w:numPr>
        <w:rPr>
          <w:lang w:eastAsia="en-GB"/>
        </w:rPr>
      </w:pPr>
      <w:r w:rsidRPr="004A7E5E">
        <w:rPr>
          <w:lang w:eastAsia="en-GB"/>
        </w:rPr>
        <w:t>highly specialised technical expertise,</w:t>
      </w:r>
    </w:p>
    <w:p w14:paraId="41C586C6" w14:textId="77777777" w:rsidR="00680C3E" w:rsidRPr="004A7E5E" w:rsidRDefault="00680C3E" w:rsidP="00700B94">
      <w:pPr>
        <w:pStyle w:val="Paragraphedeliste"/>
        <w:numPr>
          <w:ilvl w:val="0"/>
          <w:numId w:val="24"/>
        </w:numPr>
        <w:rPr>
          <w:lang w:eastAsia="en-GB"/>
        </w:rPr>
      </w:pPr>
      <w:r w:rsidRPr="004A7E5E">
        <w:rPr>
          <w:lang w:eastAsia="en-GB"/>
        </w:rPr>
        <w:lastRenderedPageBreak/>
        <w:t>rapid drafting and iteration, and</w:t>
      </w:r>
    </w:p>
    <w:p w14:paraId="51D03B56" w14:textId="77777777" w:rsidR="00680C3E" w:rsidRPr="004A7E5E" w:rsidRDefault="00680C3E" w:rsidP="00700B94">
      <w:pPr>
        <w:pStyle w:val="Paragraphedeliste"/>
        <w:numPr>
          <w:ilvl w:val="0"/>
          <w:numId w:val="24"/>
        </w:numPr>
        <w:rPr>
          <w:lang w:eastAsia="en-GB"/>
        </w:rPr>
      </w:pPr>
      <w:r w:rsidRPr="004A7E5E">
        <w:rPr>
          <w:lang w:eastAsia="en-GB"/>
        </w:rPr>
        <w:t>targeted discussion among NB experts with deep, practical experience in conformity assessment.</w:t>
      </w:r>
    </w:p>
    <w:p w14:paraId="14116FBC" w14:textId="77777777" w:rsidR="00DA33A0" w:rsidRDefault="00DA33A0" w:rsidP="00680C3E">
      <w:pPr>
        <w:spacing w:after="0" w:line="256" w:lineRule="auto"/>
        <w:rPr>
          <w:rFonts w:eastAsia="Times New Roman" w:cs="Calibri"/>
          <w:iCs w:val="0"/>
          <w:kern w:val="2"/>
          <w:szCs w:val="22"/>
          <w:lang w:eastAsia="en-GB"/>
          <w14:ligatures w14:val="standardContextual"/>
        </w:rPr>
      </w:pPr>
    </w:p>
    <w:p w14:paraId="33D185E1" w14:textId="3165B78A" w:rsidR="00DA33A0" w:rsidRPr="0024535D" w:rsidRDefault="00680C3E" w:rsidP="0024535D">
      <w:pPr>
        <w:rPr>
          <w:lang w:eastAsia="en-GB"/>
        </w:rPr>
      </w:pPr>
      <w:r w:rsidRPr="004A7E5E">
        <w:rPr>
          <w:lang w:eastAsia="en-GB"/>
        </w:rPr>
        <w:t>Because MDCG operates at a broader policy</w:t>
      </w:r>
      <w:r w:rsidRPr="004A7E5E">
        <w:rPr>
          <w:lang w:eastAsia="en-GB"/>
        </w:rPr>
        <w:noBreakHyphen/>
        <w:t>oriented and Commission and Member</w:t>
      </w:r>
      <w:r w:rsidRPr="004A7E5E">
        <w:rPr>
          <w:lang w:eastAsia="en-GB"/>
        </w:rPr>
        <w:noBreakHyphen/>
        <w:t>State</w:t>
      </w:r>
      <w:r w:rsidRPr="004A7E5E">
        <w:rPr>
          <w:lang w:eastAsia="en-GB"/>
        </w:rPr>
        <w:noBreakHyphen/>
        <w:t>led level, and because detailed technical NB documents usually require more specialised knowledge than is available within MDCG, it would be neither efficient nor proportionate to require MDCG approval for</w:t>
      </w:r>
      <w:r w:rsidR="001D34C8">
        <w:rPr>
          <w:lang w:eastAsia="en-GB"/>
        </w:rPr>
        <w:t xml:space="preserve"> purely</w:t>
      </w:r>
      <w:r w:rsidRPr="004A7E5E">
        <w:rPr>
          <w:lang w:eastAsia="en-GB"/>
        </w:rPr>
        <w:t xml:space="preserve"> technical NBCG</w:t>
      </w:r>
      <w:r w:rsidRPr="004A7E5E">
        <w:rPr>
          <w:lang w:eastAsia="en-GB"/>
        </w:rPr>
        <w:noBreakHyphen/>
        <w:t>Med document</w:t>
      </w:r>
      <w:r w:rsidR="001D34C8">
        <w:rPr>
          <w:lang w:eastAsia="en-GB"/>
        </w:rPr>
        <w:t>s</w:t>
      </w:r>
      <w:r w:rsidRPr="004A7E5E">
        <w:rPr>
          <w:lang w:eastAsia="en-GB"/>
        </w:rPr>
        <w:t>. This could risk slowing down urgently needed harmonisation work and delaying practical solutions.</w:t>
      </w:r>
    </w:p>
    <w:p w14:paraId="43486A82" w14:textId="77777777" w:rsidR="00680C3E" w:rsidRPr="004A7E5E" w:rsidRDefault="00680C3E" w:rsidP="0024535D">
      <w:pPr>
        <w:rPr>
          <w:lang w:eastAsia="en-GB"/>
        </w:rPr>
      </w:pPr>
      <w:r w:rsidRPr="004A7E5E">
        <w:rPr>
          <w:lang w:eastAsia="en-GB"/>
        </w:rPr>
        <w:t>For these reasons, Team</w:t>
      </w:r>
      <w:r w:rsidRPr="004A7E5E">
        <w:rPr>
          <w:lang w:eastAsia="en-GB"/>
        </w:rPr>
        <w:noBreakHyphen/>
        <w:t>NB respectfully proposes that:</w:t>
      </w:r>
    </w:p>
    <w:p w14:paraId="4C2ACAED" w14:textId="37A99EE2" w:rsidR="00680C3E" w:rsidRPr="004A7E5E" w:rsidRDefault="00680C3E" w:rsidP="00700B94">
      <w:pPr>
        <w:pStyle w:val="Paragraphedeliste"/>
        <w:numPr>
          <w:ilvl w:val="0"/>
          <w:numId w:val="25"/>
        </w:numPr>
        <w:rPr>
          <w:lang w:eastAsia="en-GB"/>
        </w:rPr>
      </w:pPr>
      <w:r w:rsidRPr="004A7E5E">
        <w:rPr>
          <w:lang w:eastAsia="en-GB"/>
        </w:rPr>
        <w:t>NBCG</w:t>
      </w:r>
      <w:r w:rsidRPr="004A7E5E">
        <w:rPr>
          <w:lang w:eastAsia="en-GB"/>
        </w:rPr>
        <w:noBreakHyphen/>
        <w:t xml:space="preserve">Med becomes formally part of the MDCG structure, with appropriate reporting </w:t>
      </w:r>
      <w:r w:rsidR="00E1724C" w:rsidRPr="004A7E5E">
        <w:rPr>
          <w:lang w:eastAsia="en-GB"/>
        </w:rPr>
        <w:t xml:space="preserve">lines </w:t>
      </w:r>
      <w:r w:rsidR="00E1724C" w:rsidRPr="003458BC">
        <w:t>allowing</w:t>
      </w:r>
      <w:r w:rsidR="003458BC" w:rsidRPr="003458BC">
        <w:rPr>
          <w:lang w:eastAsia="en-GB"/>
        </w:rPr>
        <w:t xml:space="preserve"> two-way communication </w:t>
      </w:r>
      <w:r w:rsidRPr="004A7E5E">
        <w:rPr>
          <w:lang w:eastAsia="en-GB"/>
        </w:rPr>
        <w:t>and transparency obligations</w:t>
      </w:r>
      <w:r w:rsidR="003C5D47">
        <w:rPr>
          <w:lang w:eastAsia="en-GB"/>
        </w:rPr>
        <w:t>.</w:t>
      </w:r>
    </w:p>
    <w:p w14:paraId="20B7CDCD" w14:textId="77777777" w:rsidR="00680C3E" w:rsidRPr="004A7E5E" w:rsidRDefault="00680C3E" w:rsidP="00700B94">
      <w:pPr>
        <w:pStyle w:val="Paragraphedeliste"/>
        <w:numPr>
          <w:ilvl w:val="0"/>
          <w:numId w:val="25"/>
        </w:numPr>
        <w:rPr>
          <w:lang w:eastAsia="en-GB"/>
        </w:rPr>
      </w:pPr>
      <w:r w:rsidRPr="004A7E5E">
        <w:rPr>
          <w:lang w:eastAsia="en-GB"/>
        </w:rPr>
        <w:t>NBCG</w:t>
      </w:r>
      <w:r w:rsidRPr="004A7E5E">
        <w:rPr>
          <w:lang w:eastAsia="en-GB"/>
        </w:rPr>
        <w:noBreakHyphen/>
        <w:t>Med retains the ability to develop and adopt technical, NB</w:t>
      </w:r>
      <w:r w:rsidRPr="004A7E5E">
        <w:rPr>
          <w:lang w:eastAsia="en-GB"/>
        </w:rPr>
        <w:noBreakHyphen/>
        <w:t>internal documents autonomously, without mandatory MDCG endorsement, provided such documents:</w:t>
      </w:r>
    </w:p>
    <w:p w14:paraId="465EF3EF" w14:textId="77777777" w:rsidR="00680C3E" w:rsidRPr="004A7E5E" w:rsidRDefault="00680C3E" w:rsidP="00700B94">
      <w:pPr>
        <w:pStyle w:val="Paragraphedeliste"/>
        <w:numPr>
          <w:ilvl w:val="1"/>
          <w:numId w:val="25"/>
        </w:numPr>
        <w:rPr>
          <w:lang w:eastAsia="en-GB"/>
        </w:rPr>
      </w:pPr>
      <w:r w:rsidRPr="004A7E5E">
        <w:rPr>
          <w:lang w:eastAsia="en-GB"/>
        </w:rPr>
        <w:t>are clearly identified as NBCG</w:t>
      </w:r>
      <w:r w:rsidRPr="004A7E5E">
        <w:rPr>
          <w:lang w:eastAsia="en-GB"/>
        </w:rPr>
        <w:noBreakHyphen/>
        <w:t>Med outputs,</w:t>
      </w:r>
    </w:p>
    <w:p w14:paraId="43C0F616" w14:textId="77777777" w:rsidR="00680C3E" w:rsidRPr="004A7E5E" w:rsidRDefault="00680C3E" w:rsidP="00700B94">
      <w:pPr>
        <w:pStyle w:val="Paragraphedeliste"/>
        <w:numPr>
          <w:ilvl w:val="1"/>
          <w:numId w:val="25"/>
        </w:numPr>
        <w:rPr>
          <w:lang w:eastAsia="en-GB"/>
        </w:rPr>
      </w:pPr>
      <w:r w:rsidRPr="004A7E5E">
        <w:rPr>
          <w:lang w:eastAsia="en-GB"/>
        </w:rPr>
        <w:t>remain consistent with Union law and MDCG guidance, and</w:t>
      </w:r>
    </w:p>
    <w:p w14:paraId="5CAD70CC" w14:textId="37119E7B" w:rsidR="00680C3E" w:rsidRPr="004A7E5E" w:rsidRDefault="00680C3E" w:rsidP="00700B94">
      <w:pPr>
        <w:pStyle w:val="Paragraphedeliste"/>
        <w:numPr>
          <w:ilvl w:val="1"/>
          <w:numId w:val="25"/>
        </w:numPr>
        <w:rPr>
          <w:lang w:eastAsia="en-GB"/>
        </w:rPr>
      </w:pPr>
      <w:r w:rsidRPr="004A7E5E">
        <w:rPr>
          <w:lang w:eastAsia="en-GB"/>
        </w:rPr>
        <w:t>support harmonised practices across notified bodies</w:t>
      </w:r>
      <w:r w:rsidR="003C5D47">
        <w:rPr>
          <w:lang w:eastAsia="en-GB"/>
        </w:rPr>
        <w:t>.</w:t>
      </w:r>
    </w:p>
    <w:p w14:paraId="26DE35AF" w14:textId="58A12CB8" w:rsidR="00DA33A0" w:rsidRPr="0024535D" w:rsidRDefault="00680C3E" w:rsidP="00700B94">
      <w:pPr>
        <w:pStyle w:val="Paragraphedeliste"/>
        <w:numPr>
          <w:ilvl w:val="0"/>
          <w:numId w:val="25"/>
        </w:numPr>
        <w:rPr>
          <w:rFonts w:eastAsia="Times New Roman" w:cs="Calibri"/>
          <w:iCs w:val="0"/>
          <w:kern w:val="2"/>
          <w:szCs w:val="22"/>
          <w:lang w:eastAsia="en-GB"/>
          <w14:ligatures w14:val="standardContextual"/>
        </w:rPr>
      </w:pPr>
      <w:r w:rsidRPr="004A7E5E">
        <w:rPr>
          <w:lang w:eastAsia="en-GB"/>
        </w:rPr>
        <w:t>documents of broader Union</w:t>
      </w:r>
      <w:r w:rsidRPr="004A7E5E">
        <w:rPr>
          <w:lang w:eastAsia="en-GB"/>
        </w:rPr>
        <w:noBreakHyphen/>
        <w:t>level relevance or general policy impact continue to be submitted to MDCG, as today, for endorsement or further consideration.</w:t>
      </w:r>
    </w:p>
    <w:p w14:paraId="4F733FE2" w14:textId="05158D66" w:rsidR="00680C3E" w:rsidRPr="004A7E5E" w:rsidRDefault="00680C3E" w:rsidP="0024535D">
      <w:pPr>
        <w:rPr>
          <w:lang w:eastAsia="en-GB"/>
        </w:rPr>
      </w:pPr>
      <w:r w:rsidRPr="004A7E5E">
        <w:rPr>
          <w:lang w:eastAsia="en-GB"/>
        </w:rPr>
        <w:t>This balanced approach ensures:</w:t>
      </w:r>
    </w:p>
    <w:p w14:paraId="1366A343" w14:textId="77777777" w:rsidR="00680C3E" w:rsidRPr="004A7E5E" w:rsidRDefault="00680C3E" w:rsidP="00700B94">
      <w:pPr>
        <w:pStyle w:val="Paragraphedeliste"/>
        <w:numPr>
          <w:ilvl w:val="0"/>
          <w:numId w:val="26"/>
        </w:numPr>
        <w:rPr>
          <w:lang w:eastAsia="en-GB"/>
        </w:rPr>
      </w:pPr>
      <w:r w:rsidRPr="004A7E5E">
        <w:rPr>
          <w:lang w:eastAsia="en-GB"/>
        </w:rPr>
        <w:t>coherent integration of NBCG</w:t>
      </w:r>
      <w:r w:rsidRPr="004A7E5E">
        <w:rPr>
          <w:lang w:eastAsia="en-GB"/>
        </w:rPr>
        <w:noBreakHyphen/>
        <w:t>Med into the MDCG framework,</w:t>
      </w:r>
    </w:p>
    <w:p w14:paraId="6391F2DE" w14:textId="77777777" w:rsidR="00680C3E" w:rsidRPr="004A7E5E" w:rsidRDefault="00680C3E" w:rsidP="00700B94">
      <w:pPr>
        <w:pStyle w:val="Paragraphedeliste"/>
        <w:numPr>
          <w:ilvl w:val="0"/>
          <w:numId w:val="26"/>
        </w:numPr>
        <w:rPr>
          <w:lang w:eastAsia="en-GB"/>
        </w:rPr>
      </w:pPr>
      <w:r w:rsidRPr="004A7E5E">
        <w:rPr>
          <w:lang w:eastAsia="en-GB"/>
        </w:rPr>
        <w:t>preservation of NB operational efficiency,</w:t>
      </w:r>
    </w:p>
    <w:p w14:paraId="711F0AF5" w14:textId="77777777" w:rsidR="00680C3E" w:rsidRPr="004A7E5E" w:rsidRDefault="00680C3E" w:rsidP="00700B94">
      <w:pPr>
        <w:pStyle w:val="Paragraphedeliste"/>
        <w:numPr>
          <w:ilvl w:val="0"/>
          <w:numId w:val="26"/>
        </w:numPr>
        <w:rPr>
          <w:lang w:eastAsia="en-GB"/>
        </w:rPr>
      </w:pPr>
      <w:r w:rsidRPr="004A7E5E">
        <w:rPr>
          <w:lang w:eastAsia="en-GB"/>
        </w:rPr>
        <w:t>continued rapid development of technical guidance,</w:t>
      </w:r>
    </w:p>
    <w:p w14:paraId="4EF450D0" w14:textId="77777777" w:rsidR="00680C3E" w:rsidRPr="004A7E5E" w:rsidRDefault="00680C3E" w:rsidP="00700B94">
      <w:pPr>
        <w:pStyle w:val="Paragraphedeliste"/>
        <w:numPr>
          <w:ilvl w:val="0"/>
          <w:numId w:val="26"/>
        </w:numPr>
        <w:rPr>
          <w:lang w:eastAsia="en-GB"/>
        </w:rPr>
      </w:pPr>
      <w:r w:rsidRPr="004A7E5E">
        <w:rPr>
          <w:lang w:eastAsia="en-GB"/>
        </w:rPr>
        <w:t>appropriate transparency and alignment with Member State and Commission priorities.</w:t>
      </w:r>
    </w:p>
    <w:p w14:paraId="29F9B4AB" w14:textId="77777777" w:rsidR="00DA33A0" w:rsidRDefault="00DA33A0" w:rsidP="00680C3E">
      <w:pPr>
        <w:spacing w:after="0" w:line="256" w:lineRule="auto"/>
        <w:rPr>
          <w:rFonts w:eastAsia="Times New Roman" w:cs="Calibri"/>
          <w:iCs w:val="0"/>
          <w:kern w:val="2"/>
          <w:szCs w:val="22"/>
          <w:lang w:eastAsia="en-GB"/>
          <w14:ligatures w14:val="standardContextual"/>
        </w:rPr>
      </w:pPr>
    </w:p>
    <w:p w14:paraId="6DA229C6" w14:textId="33AE94AD" w:rsidR="0042717B" w:rsidRPr="003E1228" w:rsidRDefault="00680C3E" w:rsidP="003E1228">
      <w:pPr>
        <w:rPr>
          <w:lang w:eastAsia="en-GB"/>
        </w:rPr>
      </w:pPr>
      <w:r w:rsidRPr="004A7E5E">
        <w:rPr>
          <w:lang w:eastAsia="en-GB"/>
        </w:rPr>
        <w:t>Team</w:t>
      </w:r>
      <w:r w:rsidRPr="004A7E5E">
        <w:rPr>
          <w:lang w:eastAsia="en-GB"/>
        </w:rPr>
        <w:noBreakHyphen/>
        <w:t>NB believes this model both respects the governance role of MDCG and safeguards the technical depth and agility required for high</w:t>
      </w:r>
      <w:r w:rsidRPr="004A7E5E">
        <w:rPr>
          <w:lang w:eastAsia="en-GB"/>
        </w:rPr>
        <w:noBreakHyphen/>
        <w:t>quality and harmonised conformity assessment across the Union.</w:t>
      </w:r>
    </w:p>
    <w:p w14:paraId="00F43FD5" w14:textId="77777777" w:rsidR="00DA33A0" w:rsidRPr="004A7E5E" w:rsidRDefault="00DA33A0" w:rsidP="00A93D53">
      <w:pPr>
        <w:spacing w:after="0" w:line="256" w:lineRule="auto"/>
        <w:rPr>
          <w:rFonts w:eastAsia="Times New Roman" w:cs="Calibri"/>
          <w:iCs w:val="0"/>
          <w:kern w:val="2"/>
          <w:szCs w:val="22"/>
          <w:lang w:eastAsia="en-GB"/>
          <w14:ligatures w14:val="standardContextual"/>
        </w:rPr>
      </w:pPr>
    </w:p>
    <w:p w14:paraId="4DA30DAD" w14:textId="0AF0AE1E" w:rsidR="000C2B0F" w:rsidRDefault="000C2B0F" w:rsidP="004A7E5E">
      <w:pPr>
        <w:pStyle w:val="Titre1"/>
      </w:pPr>
      <w:bookmarkStart w:id="153" w:name="_Toc225929336"/>
      <w:bookmarkStart w:id="154" w:name="_Toc225929779"/>
      <w:bookmarkStart w:id="155" w:name="_Toc225930231"/>
      <w:bookmarkStart w:id="156" w:name="_Toc225930682"/>
      <w:bookmarkStart w:id="157" w:name="_Toc225931140"/>
      <w:bookmarkStart w:id="158" w:name="_Toc225931597"/>
      <w:bookmarkStart w:id="159" w:name="_Toc225932037"/>
      <w:bookmarkStart w:id="160" w:name="_Toc225932477"/>
      <w:bookmarkStart w:id="161" w:name="_Toc225932917"/>
      <w:bookmarkStart w:id="162" w:name="_Toc225933357"/>
      <w:bookmarkStart w:id="163" w:name="_Toc225948664"/>
      <w:bookmarkStart w:id="164" w:name="_Toc225949293"/>
      <w:bookmarkStart w:id="165" w:name="_Toc225963338"/>
      <w:bookmarkStart w:id="166" w:name="_Toc225841363"/>
      <w:bookmarkStart w:id="167" w:name="_Toc225929337"/>
      <w:bookmarkStart w:id="168" w:name="_Toc225929780"/>
      <w:bookmarkStart w:id="169" w:name="_Toc225930232"/>
      <w:bookmarkStart w:id="170" w:name="_Toc225930683"/>
      <w:bookmarkStart w:id="171" w:name="_Toc225931141"/>
      <w:bookmarkStart w:id="172" w:name="_Toc225931598"/>
      <w:bookmarkStart w:id="173" w:name="_Toc225932038"/>
      <w:bookmarkStart w:id="174" w:name="_Toc225932478"/>
      <w:bookmarkStart w:id="175" w:name="_Toc225932918"/>
      <w:bookmarkStart w:id="176" w:name="_Toc225933358"/>
      <w:bookmarkStart w:id="177" w:name="_Toc225948665"/>
      <w:bookmarkStart w:id="178" w:name="_Toc225949294"/>
      <w:bookmarkStart w:id="179" w:name="_Toc225963339"/>
      <w:bookmarkStart w:id="180" w:name="_Toc225841364"/>
      <w:bookmarkStart w:id="181" w:name="_Toc225929338"/>
      <w:bookmarkStart w:id="182" w:name="_Toc225929781"/>
      <w:bookmarkStart w:id="183" w:name="_Toc225930233"/>
      <w:bookmarkStart w:id="184" w:name="_Toc225930684"/>
      <w:bookmarkStart w:id="185" w:name="_Toc225931142"/>
      <w:bookmarkStart w:id="186" w:name="_Toc225931599"/>
      <w:bookmarkStart w:id="187" w:name="_Toc225932039"/>
      <w:bookmarkStart w:id="188" w:name="_Toc225932479"/>
      <w:bookmarkStart w:id="189" w:name="_Toc225932919"/>
      <w:bookmarkStart w:id="190" w:name="_Toc225933359"/>
      <w:bookmarkStart w:id="191" w:name="_Toc225948666"/>
      <w:bookmarkStart w:id="192" w:name="_Toc225949295"/>
      <w:bookmarkStart w:id="193" w:name="_Toc225963340"/>
      <w:bookmarkStart w:id="194" w:name="_Toc225841365"/>
      <w:bookmarkStart w:id="195" w:name="_Toc225929339"/>
      <w:bookmarkStart w:id="196" w:name="_Toc225929782"/>
      <w:bookmarkStart w:id="197" w:name="_Toc225930234"/>
      <w:bookmarkStart w:id="198" w:name="_Toc225930685"/>
      <w:bookmarkStart w:id="199" w:name="_Toc225931143"/>
      <w:bookmarkStart w:id="200" w:name="_Toc225931600"/>
      <w:bookmarkStart w:id="201" w:name="_Toc225932040"/>
      <w:bookmarkStart w:id="202" w:name="_Toc225932480"/>
      <w:bookmarkStart w:id="203" w:name="_Toc225932920"/>
      <w:bookmarkStart w:id="204" w:name="_Toc225933360"/>
      <w:bookmarkStart w:id="205" w:name="_Toc225948667"/>
      <w:bookmarkStart w:id="206" w:name="_Toc225949296"/>
      <w:bookmarkStart w:id="207" w:name="_Toc225963341"/>
      <w:bookmarkStart w:id="208" w:name="_Toc226533691"/>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r w:rsidRPr="004A7E5E">
        <w:t>Clinical – WET – Equivalence – Art 61(10)</w:t>
      </w:r>
      <w:bookmarkEnd w:id="208"/>
      <w:r w:rsidRPr="004A7E5E">
        <w:t xml:space="preserve"> </w:t>
      </w:r>
    </w:p>
    <w:p w14:paraId="2154F646" w14:textId="6ACC7884" w:rsidR="00B55425" w:rsidRDefault="00B55425" w:rsidP="00B55425">
      <w:pPr>
        <w:pStyle w:val="Titre2"/>
      </w:pPr>
      <w:bookmarkStart w:id="209" w:name="_Toc226533692"/>
      <w:r>
        <w:t>High-level summary</w:t>
      </w:r>
      <w:bookmarkEnd w:id="209"/>
    </w:p>
    <w:p w14:paraId="166C87ED" w14:textId="77777777" w:rsidR="00B55425" w:rsidRPr="00756610" w:rsidRDefault="00B55425" w:rsidP="0024535D">
      <w:r w:rsidRPr="00756610">
        <w:t>Clinical data is central to ensuring that medical devices demonstrate robust safety and performance, forming the scientific foundation of a credible conformity assessment process. While strong evidence is essential for protecting patients, a pragmatic and proportionate approach is needed</w:t>
      </w:r>
      <w:r w:rsidRPr="00756610">
        <w:rPr>
          <w:rFonts w:hint="eastAsia"/>
        </w:rPr>
        <w:t>—</w:t>
      </w:r>
      <w:r w:rsidRPr="00756610">
        <w:t>one that recognises that regulatory risk classifications do not always mirror the true clinical risks faced by patients. Meaningful reform of the MDR and clinical evaluation requirements must therefore introduce flexibility without weakening the core scientific principles that safeguard patient safety. Such improvements should enhance transparency and ensure patients have access to clear, relevant clinical evidence supporting the devices they rely on.</w:t>
      </w:r>
    </w:p>
    <w:p w14:paraId="3086A51A" w14:textId="77777777" w:rsidR="00B55425" w:rsidRPr="00B55425" w:rsidRDefault="00B55425" w:rsidP="0024535D"/>
    <w:p w14:paraId="46541B6B" w14:textId="77777777" w:rsidR="00E7303F" w:rsidRPr="004A7E5E" w:rsidRDefault="00E7303F" w:rsidP="002542E6">
      <w:pPr>
        <w:pStyle w:val="Titre2"/>
      </w:pPr>
      <w:bookmarkStart w:id="210" w:name="_Toc225929784"/>
      <w:bookmarkStart w:id="211" w:name="_Toc225930236"/>
      <w:bookmarkStart w:id="212" w:name="_Toc225930688"/>
      <w:bookmarkStart w:id="213" w:name="_Toc225931146"/>
      <w:bookmarkStart w:id="214" w:name="_Toc225931603"/>
      <w:bookmarkStart w:id="215" w:name="_Toc225932043"/>
      <w:bookmarkStart w:id="216" w:name="_Toc225932483"/>
      <w:bookmarkStart w:id="217" w:name="_Toc225932923"/>
      <w:bookmarkStart w:id="218" w:name="_Toc225933363"/>
      <w:bookmarkStart w:id="219" w:name="_Toc225948670"/>
      <w:bookmarkStart w:id="220" w:name="_Toc225949299"/>
      <w:bookmarkStart w:id="221" w:name="_Toc225963344"/>
      <w:bookmarkStart w:id="222" w:name="_Toc225929785"/>
      <w:bookmarkStart w:id="223" w:name="_Toc225930237"/>
      <w:bookmarkStart w:id="224" w:name="_Toc225930689"/>
      <w:bookmarkStart w:id="225" w:name="_Toc225931147"/>
      <w:bookmarkStart w:id="226" w:name="_Toc225931604"/>
      <w:bookmarkStart w:id="227" w:name="_Toc225932044"/>
      <w:bookmarkStart w:id="228" w:name="_Toc225932484"/>
      <w:bookmarkStart w:id="229" w:name="_Toc225932924"/>
      <w:bookmarkStart w:id="230" w:name="_Toc225933364"/>
      <w:bookmarkStart w:id="231" w:name="_Toc225948671"/>
      <w:bookmarkStart w:id="232" w:name="_Toc225949300"/>
      <w:bookmarkStart w:id="233" w:name="_Toc225963345"/>
      <w:bookmarkStart w:id="234" w:name="_Toc225929786"/>
      <w:bookmarkStart w:id="235" w:name="_Toc225930238"/>
      <w:bookmarkStart w:id="236" w:name="_Toc225930690"/>
      <w:bookmarkStart w:id="237" w:name="_Toc225931148"/>
      <w:bookmarkStart w:id="238" w:name="_Toc225931605"/>
      <w:bookmarkStart w:id="239" w:name="_Toc225932045"/>
      <w:bookmarkStart w:id="240" w:name="_Toc225932485"/>
      <w:bookmarkStart w:id="241" w:name="_Toc225932925"/>
      <w:bookmarkStart w:id="242" w:name="_Toc225933365"/>
      <w:bookmarkStart w:id="243" w:name="_Toc225948672"/>
      <w:bookmarkStart w:id="244" w:name="_Toc225949301"/>
      <w:bookmarkStart w:id="245" w:name="_Toc225963346"/>
      <w:bookmarkStart w:id="246" w:name="_Toc225929787"/>
      <w:bookmarkStart w:id="247" w:name="_Toc225930239"/>
      <w:bookmarkStart w:id="248" w:name="_Toc225930691"/>
      <w:bookmarkStart w:id="249" w:name="_Toc225931149"/>
      <w:bookmarkStart w:id="250" w:name="_Toc225931606"/>
      <w:bookmarkStart w:id="251" w:name="_Toc225932046"/>
      <w:bookmarkStart w:id="252" w:name="_Toc225932486"/>
      <w:bookmarkStart w:id="253" w:name="_Toc225932926"/>
      <w:bookmarkStart w:id="254" w:name="_Toc225933366"/>
      <w:bookmarkStart w:id="255" w:name="_Toc225948673"/>
      <w:bookmarkStart w:id="256" w:name="_Toc225949302"/>
      <w:bookmarkStart w:id="257" w:name="_Toc225963347"/>
      <w:bookmarkStart w:id="258" w:name="_Toc225929788"/>
      <w:bookmarkStart w:id="259" w:name="_Toc225930240"/>
      <w:bookmarkStart w:id="260" w:name="_Toc225930692"/>
      <w:bookmarkStart w:id="261" w:name="_Toc225931150"/>
      <w:bookmarkStart w:id="262" w:name="_Toc225931607"/>
      <w:bookmarkStart w:id="263" w:name="_Toc225932047"/>
      <w:bookmarkStart w:id="264" w:name="_Toc225932487"/>
      <w:bookmarkStart w:id="265" w:name="_Toc225932927"/>
      <w:bookmarkStart w:id="266" w:name="_Toc225933367"/>
      <w:bookmarkStart w:id="267" w:name="_Toc225948674"/>
      <w:bookmarkStart w:id="268" w:name="_Toc225949303"/>
      <w:bookmarkStart w:id="269" w:name="_Toc225963348"/>
      <w:bookmarkStart w:id="270" w:name="_Toc224888461"/>
      <w:bookmarkStart w:id="271" w:name="_Toc226533693"/>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r w:rsidRPr="004A7E5E">
        <w:lastRenderedPageBreak/>
        <w:t>Clinical Data Definition (Article 2 (48))</w:t>
      </w:r>
      <w:bookmarkEnd w:id="270"/>
      <w:bookmarkEnd w:id="271"/>
    </w:p>
    <w:p w14:paraId="34F3703A" w14:textId="0543D5B0" w:rsidR="00E7303F" w:rsidRPr="0024535D" w:rsidRDefault="00E7303F" w:rsidP="0024535D">
      <w:r w:rsidRPr="0024535D">
        <w:rPr>
          <w:lang w:val="en-US"/>
        </w:rPr>
        <w:t>Team</w:t>
      </w:r>
      <w:r w:rsidR="00D8774F">
        <w:rPr>
          <w:lang w:val="en-US"/>
        </w:rPr>
        <w:t>-</w:t>
      </w:r>
      <w:r w:rsidRPr="0024535D">
        <w:rPr>
          <w:lang w:val="en-US"/>
        </w:rPr>
        <w:t xml:space="preserve">NB welcomes the </w:t>
      </w:r>
      <w:r w:rsidR="001356E3">
        <w:rPr>
          <w:lang w:val="en-US"/>
        </w:rPr>
        <w:t>C</w:t>
      </w:r>
      <w:r w:rsidRPr="0024535D">
        <w:rPr>
          <w:lang w:val="en-US"/>
        </w:rPr>
        <w:t>ommission</w:t>
      </w:r>
      <w:r w:rsidR="0009776A">
        <w:rPr>
          <w:lang w:val="en-US"/>
        </w:rPr>
        <w:t>’</w:t>
      </w:r>
      <w:r w:rsidRPr="0024535D">
        <w:rPr>
          <w:lang w:val="en-US"/>
        </w:rPr>
        <w:t xml:space="preserve">s efforts to clarify </w:t>
      </w:r>
      <w:r w:rsidRPr="0024535D">
        <w:t>what qualifies as clinical data but believes the proposed amendment does not reflect the full range of sources which can be used to generate clinically relevant data. The proposed definition risks exclusion of real</w:t>
      </w:r>
      <w:r w:rsidRPr="0024535D">
        <w:noBreakHyphen/>
        <w:t xml:space="preserve">world data derived from sources such as retrospective studies, surveys, registries, case studies and unpublished clinical experience, in addition to </w:t>
      </w:r>
      <w:r w:rsidRPr="0024535D">
        <w:rPr>
          <w:lang w:val="en-US"/>
        </w:rPr>
        <w:t xml:space="preserve">system level clinical data which in some cases can indirectly inform on safety and performance. </w:t>
      </w:r>
    </w:p>
    <w:p w14:paraId="00CAB466" w14:textId="666390D9" w:rsidR="00E7303F" w:rsidRPr="0024535D" w:rsidRDefault="00E7303F" w:rsidP="0024535D">
      <w:pPr>
        <w:rPr>
          <w:lang w:val="en-US"/>
        </w:rPr>
      </w:pPr>
      <w:r w:rsidRPr="0024535D">
        <w:rPr>
          <w:lang w:val="en-US"/>
        </w:rPr>
        <w:t xml:space="preserve">There is also an ongoing concern that the requirement for clinical experience to be published in </w:t>
      </w:r>
      <w:r w:rsidR="00EB3A59">
        <w:rPr>
          <w:lang w:val="en-US"/>
        </w:rPr>
        <w:t>“</w:t>
      </w:r>
      <w:r w:rsidRPr="0024535D">
        <w:rPr>
          <w:lang w:val="en-US"/>
        </w:rPr>
        <w:t>peer-reviewed scientific literature</w:t>
      </w:r>
      <w:r w:rsidR="00EB3A59">
        <w:rPr>
          <w:lang w:val="en-US"/>
        </w:rPr>
        <w:t>”</w:t>
      </w:r>
      <w:r w:rsidRPr="0024535D">
        <w:rPr>
          <w:lang w:val="en-US"/>
        </w:rPr>
        <w:t xml:space="preserve"> creates an artificial threshold regarding the quality of clinical data, that is not reflected in the current academic publishing environment, such that a potentially misleading narrative is constructed where the </w:t>
      </w:r>
      <w:r w:rsidR="00EB3A59">
        <w:rPr>
          <w:lang w:val="en-US"/>
        </w:rPr>
        <w:t>“</w:t>
      </w:r>
      <w:r w:rsidRPr="0024535D">
        <w:rPr>
          <w:lang w:val="en-US"/>
        </w:rPr>
        <w:t>peer-reviewed</w:t>
      </w:r>
      <w:r w:rsidR="00EB3A59">
        <w:rPr>
          <w:lang w:val="en-US"/>
        </w:rPr>
        <w:t>”</w:t>
      </w:r>
      <w:r w:rsidRPr="0024535D">
        <w:rPr>
          <w:lang w:val="en-US"/>
        </w:rPr>
        <w:t xml:space="preserve"> automatically indicates the source of clinical data to be reliable. Based on the collective experience of Team</w:t>
      </w:r>
      <w:r w:rsidR="0054152C">
        <w:rPr>
          <w:lang w:val="en-US"/>
        </w:rPr>
        <w:t>-</w:t>
      </w:r>
      <w:r w:rsidRPr="0024535D">
        <w:rPr>
          <w:lang w:val="en-US"/>
        </w:rPr>
        <w:t xml:space="preserve">NB, a more reliable and predictable indicator of how a device performs in the clinical setting requires consideration of all potential data sources, including patient reported data where available. The quality, reliability and relevance of which is subject to appraisal via the clinical evaluation process. </w:t>
      </w:r>
    </w:p>
    <w:p w14:paraId="7B776207" w14:textId="77777777" w:rsidR="00E7303F" w:rsidRPr="0024535D" w:rsidRDefault="00E7303F" w:rsidP="0024535D">
      <w:pPr>
        <w:rPr>
          <w:lang w:val="en-US"/>
        </w:rPr>
      </w:pPr>
      <w:r w:rsidRPr="0024535D">
        <w:rPr>
          <w:lang w:val="en-US"/>
        </w:rPr>
        <w:t>Proposed Amendment: Impact on Patients</w:t>
      </w:r>
    </w:p>
    <w:p w14:paraId="2DF8907F" w14:textId="77777777" w:rsidR="00E7303F" w:rsidRPr="0024535D" w:rsidRDefault="00E7303F" w:rsidP="00700B94">
      <w:pPr>
        <w:pStyle w:val="Paragraphedeliste"/>
        <w:numPr>
          <w:ilvl w:val="0"/>
          <w:numId w:val="27"/>
        </w:numPr>
      </w:pPr>
      <w:r w:rsidRPr="0024535D">
        <w:t>Delayed access to devices due to higher evidence</w:t>
      </w:r>
      <w:r w:rsidRPr="0024535D">
        <w:noBreakHyphen/>
        <w:t>generation burden.</w:t>
      </w:r>
    </w:p>
    <w:p w14:paraId="36B54E65" w14:textId="4704C79F" w:rsidR="00E7303F" w:rsidRPr="0024535D" w:rsidRDefault="00E7303F" w:rsidP="00700B94">
      <w:pPr>
        <w:pStyle w:val="Paragraphedeliste"/>
        <w:numPr>
          <w:ilvl w:val="0"/>
          <w:numId w:val="27"/>
        </w:numPr>
      </w:pPr>
      <w:r w:rsidRPr="0024535D">
        <w:t>Exclusion of unpublished real</w:t>
      </w:r>
      <w:r w:rsidRPr="0024535D">
        <w:noBreakHyphen/>
        <w:t>world data may slow detection of real</w:t>
      </w:r>
      <w:r w:rsidRPr="0024535D">
        <w:noBreakHyphen/>
        <w:t>use performance and safety issues.</w:t>
      </w:r>
    </w:p>
    <w:p w14:paraId="648D5C45" w14:textId="77777777" w:rsidR="00E7303F" w:rsidRPr="0024535D" w:rsidRDefault="00E7303F" w:rsidP="0024535D">
      <w:pPr>
        <w:rPr>
          <w:lang w:val="en-US"/>
        </w:rPr>
      </w:pPr>
      <w:r w:rsidRPr="0024535D">
        <w:rPr>
          <w:lang w:val="en-US"/>
        </w:rPr>
        <w:t>Proposed Amendment: Impact on Manufacturers</w:t>
      </w:r>
    </w:p>
    <w:p w14:paraId="1E19AC45" w14:textId="77777777" w:rsidR="00E7303F" w:rsidRPr="0024535D" w:rsidRDefault="00E7303F" w:rsidP="00700B94">
      <w:pPr>
        <w:pStyle w:val="Paragraphedeliste"/>
        <w:numPr>
          <w:ilvl w:val="0"/>
          <w:numId w:val="28"/>
        </w:numPr>
      </w:pPr>
      <w:r w:rsidRPr="0024535D">
        <w:t>More restrictive definitions may force manufacturers to generate new data unnecessarily, increasing cost and delaying access.</w:t>
      </w:r>
    </w:p>
    <w:p w14:paraId="59F28771" w14:textId="77777777" w:rsidR="00E7303F" w:rsidRPr="0024535D" w:rsidRDefault="00E7303F" w:rsidP="00700B94">
      <w:pPr>
        <w:pStyle w:val="Paragraphedeliste"/>
        <w:numPr>
          <w:ilvl w:val="0"/>
          <w:numId w:val="28"/>
        </w:numPr>
      </w:pPr>
      <w:r w:rsidRPr="0024535D">
        <w:t>Potentially important real</w:t>
      </w:r>
      <w:r w:rsidRPr="0024535D">
        <w:noBreakHyphen/>
        <w:t>world evidence may be disregarded, weakening predictability of conformity assessment process.</w:t>
      </w:r>
    </w:p>
    <w:p w14:paraId="4842D29E" w14:textId="77777777" w:rsidR="00E7303F" w:rsidRPr="004A7E5E" w:rsidRDefault="00E7303F" w:rsidP="00E7303F">
      <w:pPr>
        <w:pStyle w:val="ISOSecretObservations"/>
        <w:spacing w:before="60" w:after="60" w:line="276" w:lineRule="auto"/>
        <w:rPr>
          <w:rFonts w:ascii="Aptos" w:hAnsi="Aptos" w:cs="Arial"/>
          <w:sz w:val="20"/>
          <w:lang w:val="en-US"/>
        </w:rPr>
      </w:pPr>
    </w:p>
    <w:p w14:paraId="4696C5B3" w14:textId="14B8B0EC" w:rsidR="00E7303F" w:rsidRPr="0024535D" w:rsidRDefault="00E7303F" w:rsidP="00E7303F">
      <w:pPr>
        <w:pStyle w:val="ISOSecretObservations"/>
        <w:spacing w:before="60" w:after="60" w:line="276" w:lineRule="auto"/>
        <w:rPr>
          <w:rStyle w:val="Accentuationintense"/>
          <w:rFonts w:eastAsiaTheme="majorEastAsia"/>
        </w:rPr>
      </w:pPr>
      <w:r w:rsidRPr="0024535D">
        <w:rPr>
          <w:rStyle w:val="Accentuationintense"/>
          <w:rFonts w:eastAsiaTheme="majorEastAsia"/>
        </w:rPr>
        <w:t>Team</w:t>
      </w:r>
      <w:r w:rsidR="0051521E">
        <w:rPr>
          <w:rStyle w:val="Accentuationintense"/>
          <w:rFonts w:eastAsiaTheme="majorEastAsia"/>
        </w:rPr>
        <w:t>-</w:t>
      </w:r>
      <w:r w:rsidRPr="0024535D">
        <w:rPr>
          <w:rStyle w:val="Accentuationintense"/>
          <w:rFonts w:eastAsiaTheme="majorEastAsia"/>
        </w:rPr>
        <w:t>NB Propos</w:t>
      </w:r>
      <w:r w:rsidR="00EB3A59" w:rsidRPr="0024535D">
        <w:rPr>
          <w:rStyle w:val="Accentuationintense"/>
          <w:rFonts w:eastAsiaTheme="majorEastAsia"/>
        </w:rPr>
        <w:t>al</w:t>
      </w:r>
    </w:p>
    <w:p w14:paraId="212B36C0" w14:textId="0C680A48" w:rsidR="00E7303F" w:rsidRPr="0024535D" w:rsidRDefault="00E7303F" w:rsidP="0024535D">
      <w:r w:rsidRPr="0024535D">
        <w:t>Team</w:t>
      </w:r>
      <w:r w:rsidR="0051521E">
        <w:t>-</w:t>
      </w:r>
      <w:r w:rsidRPr="0024535D">
        <w:t>NB proposes adopting a globally aligned definition of clinical data, consistent with IMDRF and MEDDEV 2.7/1 Rev. 4, ensuring broader acceptance of real</w:t>
      </w:r>
      <w:r w:rsidRPr="0024535D">
        <w:noBreakHyphen/>
        <w:t>world evidence. This approach promotes global converge of regulations as outlined in point 5 of the MDR preamble</w:t>
      </w:r>
      <w:r w:rsidRPr="0024535D">
        <w:rPr>
          <w:rStyle w:val="Appelnotedebasdep"/>
          <w:rFonts w:cs="Arial"/>
          <w:szCs w:val="22"/>
        </w:rPr>
        <w:footnoteReference w:id="1"/>
      </w:r>
      <w:r w:rsidRPr="0024535D">
        <w:t>. We also propose incorporating system</w:t>
      </w:r>
      <w:r w:rsidRPr="0024535D">
        <w:noBreakHyphen/>
        <w:t>level data into the definition to enable its use where relevant (e.g., surgical instruments intended for use with a specific implant).</w:t>
      </w:r>
    </w:p>
    <w:p w14:paraId="11E02B9C" w14:textId="77777777" w:rsidR="00E7303F" w:rsidRPr="004A7E5E" w:rsidRDefault="00E7303F" w:rsidP="00E7303F">
      <w:pPr>
        <w:pStyle w:val="ISOSecretObservations"/>
        <w:spacing w:before="60" w:after="60" w:line="276" w:lineRule="auto"/>
        <w:rPr>
          <w:rFonts w:ascii="Aptos" w:hAnsi="Aptos" w:cs="Arial"/>
          <w:sz w:val="20"/>
        </w:rPr>
      </w:pPr>
    </w:p>
    <w:p w14:paraId="5FF5BA90" w14:textId="6668EAD4" w:rsidR="00E7303F" w:rsidRPr="0024535D" w:rsidRDefault="00EB3A59" w:rsidP="0024535D">
      <w:pPr>
        <w:spacing w:after="0"/>
        <w:rPr>
          <w:b/>
          <w:bCs/>
          <w:iCs w:val="0"/>
        </w:rPr>
      </w:pPr>
      <w:r w:rsidRPr="0024535D">
        <w:rPr>
          <w:b/>
          <w:bCs/>
        </w:rPr>
        <w:t>Team</w:t>
      </w:r>
      <w:r w:rsidR="00D8774F">
        <w:rPr>
          <w:b/>
          <w:bCs/>
        </w:rPr>
        <w:t>-</w:t>
      </w:r>
      <w:r w:rsidRPr="0024535D">
        <w:rPr>
          <w:b/>
          <w:bCs/>
        </w:rPr>
        <w:t>NB proposed text (</w:t>
      </w:r>
      <w:r w:rsidR="00E7303F" w:rsidRPr="0024535D">
        <w:rPr>
          <w:b/>
          <w:bCs/>
        </w:rPr>
        <w:t>Article 2(48)</w:t>
      </w:r>
      <w:r w:rsidRPr="0024535D">
        <w:rPr>
          <w:b/>
          <w:bCs/>
        </w:rPr>
        <w:t>)</w:t>
      </w:r>
      <w:r w:rsidR="00E7303F" w:rsidRPr="0024535D">
        <w:rPr>
          <w:b/>
          <w:bCs/>
        </w:rPr>
        <w:t xml:space="preserve">: </w:t>
      </w:r>
    </w:p>
    <w:p w14:paraId="71031DAC" w14:textId="0B2CF965" w:rsidR="00E7303F" w:rsidRPr="0024535D" w:rsidRDefault="00E7303F" w:rsidP="0024535D">
      <w:pPr>
        <w:spacing w:after="0"/>
        <w:rPr>
          <w:i/>
          <w:lang w:val="en-US"/>
        </w:rPr>
      </w:pPr>
      <w:r w:rsidRPr="0024535D">
        <w:rPr>
          <w:i/>
          <w:iCs w:val="0"/>
          <w:lang w:val="en-US"/>
        </w:rPr>
        <w:t xml:space="preserve"> </w:t>
      </w:r>
      <w:r w:rsidR="000B608E">
        <w:rPr>
          <w:i/>
          <w:iCs w:val="0"/>
          <w:lang w:val="en-US"/>
        </w:rPr>
        <w:t>‘</w:t>
      </w:r>
      <w:r w:rsidRPr="0024535D">
        <w:rPr>
          <w:i/>
          <w:iCs w:val="0"/>
          <w:lang w:val="en-US"/>
        </w:rPr>
        <w:t>clinical data</w:t>
      </w:r>
      <w:r w:rsidR="000B608E">
        <w:rPr>
          <w:i/>
          <w:iCs w:val="0"/>
          <w:lang w:val="en-US"/>
        </w:rPr>
        <w:t xml:space="preserve">’ </w:t>
      </w:r>
      <w:r w:rsidRPr="0024535D">
        <w:rPr>
          <w:i/>
          <w:iCs w:val="0"/>
          <w:lang w:val="en-US"/>
        </w:rPr>
        <w:t xml:space="preserve">means safety or performance information that is generated from clinical and/or </w:t>
      </w:r>
      <w:r w:rsidRPr="00F26E61">
        <w:rPr>
          <w:i/>
          <w:iCs w:val="0"/>
          <w:lang w:val="en-US"/>
        </w:rPr>
        <w:t>investigational use of a device, or where relevant arising from use of a device within a system, on humans for treatment, diagnosis, patient management or public health purposes.</w:t>
      </w:r>
      <w:r w:rsidR="00742B30" w:rsidRPr="00F26E61">
        <w:rPr>
          <w:i/>
          <w:iCs w:val="0"/>
          <w:lang w:val="en-US"/>
        </w:rPr>
        <w:t xml:space="preserve"> </w:t>
      </w:r>
      <w:r w:rsidR="00042BE7" w:rsidRPr="00F26E61">
        <w:rPr>
          <w:i/>
          <w:iCs w:val="0"/>
          <w:lang w:eastAsia="en-GB"/>
        </w:rPr>
        <w:t xml:space="preserve">(see Table, Ref. no. </w:t>
      </w:r>
      <w:r w:rsidR="00F83D00" w:rsidRPr="00F26E61">
        <w:rPr>
          <w:i/>
          <w:iCs w:val="0"/>
          <w:lang w:eastAsia="en-GB"/>
        </w:rPr>
        <w:t>2</w:t>
      </w:r>
      <w:r w:rsidR="00042BE7" w:rsidRPr="00F26E61">
        <w:rPr>
          <w:i/>
          <w:iCs w:val="0"/>
          <w:lang w:eastAsia="en-GB"/>
        </w:rPr>
        <w:t>)</w:t>
      </w:r>
    </w:p>
    <w:p w14:paraId="03C53FEE" w14:textId="77777777" w:rsidR="007A33C2" w:rsidRPr="0024535D" w:rsidRDefault="007A33C2" w:rsidP="00E7303F">
      <w:pPr>
        <w:pStyle w:val="ISOSecretObservations"/>
        <w:spacing w:before="60" w:after="60" w:line="276" w:lineRule="auto"/>
        <w:jc w:val="both"/>
        <w:rPr>
          <w:rFonts w:ascii="Aptos" w:hAnsi="Aptos" w:cs="Arial"/>
          <w:b/>
          <w:bCs/>
          <w:szCs w:val="22"/>
          <w:lang w:val="en-US"/>
        </w:rPr>
      </w:pPr>
    </w:p>
    <w:p w14:paraId="1F9636E3" w14:textId="77777777" w:rsidR="00E7303F" w:rsidRPr="004A7E5E" w:rsidRDefault="00E7303F" w:rsidP="002542E6">
      <w:pPr>
        <w:pStyle w:val="Titre2"/>
      </w:pPr>
      <w:bookmarkStart w:id="272" w:name="_Toc224888462"/>
      <w:bookmarkStart w:id="273" w:name="_Toc226533694"/>
      <w:r w:rsidRPr="004A7E5E">
        <w:t>Clinical Data Deemed Inappropriate - Article 61.10</w:t>
      </w:r>
      <w:bookmarkEnd w:id="272"/>
      <w:bookmarkEnd w:id="273"/>
    </w:p>
    <w:p w14:paraId="6AF32440" w14:textId="0E5F16A5" w:rsidR="00E7303F" w:rsidRPr="0024535D" w:rsidRDefault="00E7303F" w:rsidP="0024535D">
      <w:r w:rsidRPr="0024535D">
        <w:t>Team</w:t>
      </w:r>
      <w:r w:rsidR="00491B44">
        <w:t>-</w:t>
      </w:r>
      <w:r w:rsidRPr="0024535D">
        <w:t>NB recognises that the medical device sector has experienced persistent inconsistency and debate around Article 61(10) since MDR implementation. We welcome clarification on the types of non</w:t>
      </w:r>
      <w:r w:rsidRPr="0024535D">
        <w:noBreakHyphen/>
        <w:t>clinical data which are considered acceptable (in silico, in vitro, ex vivo, modelling) but believe the proposed amendments will increase ambiguity rather than reduce it.</w:t>
      </w:r>
    </w:p>
    <w:p w14:paraId="0CC296ED" w14:textId="77777777" w:rsidR="00E7303F" w:rsidRPr="0024535D" w:rsidRDefault="00E7303F" w:rsidP="0024535D">
      <w:r w:rsidRPr="0024535D">
        <w:t>Key concerns include:</w:t>
      </w:r>
    </w:p>
    <w:p w14:paraId="2024B653" w14:textId="666E1C73" w:rsidR="00E7303F" w:rsidRPr="0024535D" w:rsidRDefault="00E7303F" w:rsidP="00700B94">
      <w:pPr>
        <w:pStyle w:val="Paragraphedeliste"/>
        <w:numPr>
          <w:ilvl w:val="0"/>
          <w:numId w:val="29"/>
        </w:numPr>
      </w:pPr>
      <w:r w:rsidRPr="0024535D">
        <w:t xml:space="preserve">Removing the word </w:t>
      </w:r>
      <w:r w:rsidR="008A2627">
        <w:t>“</w:t>
      </w:r>
      <w:r w:rsidRPr="0024535D">
        <w:t>exception</w:t>
      </w:r>
      <w:r w:rsidR="008A2627">
        <w:t>”</w:t>
      </w:r>
      <w:r w:rsidRPr="0024535D">
        <w:t xml:space="preserve"> broadens use of non</w:t>
      </w:r>
      <w:r w:rsidRPr="0024535D">
        <w:noBreakHyphen/>
        <w:t>clinical</w:t>
      </w:r>
      <w:r w:rsidRPr="0024535D">
        <w:noBreakHyphen/>
        <w:t xml:space="preserve">only routes, risking misuse for Class </w:t>
      </w:r>
      <w:proofErr w:type="spellStart"/>
      <w:r w:rsidRPr="0024535D">
        <w:t>IIa</w:t>
      </w:r>
      <w:proofErr w:type="spellEnd"/>
      <w:r w:rsidRPr="0024535D">
        <w:t>/IIb non-implantable devices and potentially making absence of clinical data the default for low-medium risk devices, contrary to the underlying principles of the regulation as outlined in point 63 of the MDR preamble</w:t>
      </w:r>
      <w:r w:rsidRPr="0024535D">
        <w:rPr>
          <w:rStyle w:val="Appelnotedebasdep"/>
          <w:rFonts w:eastAsia="Times New Roman" w:cs="Arial"/>
          <w:szCs w:val="22"/>
        </w:rPr>
        <w:footnoteReference w:id="2"/>
      </w:r>
      <w:r w:rsidRPr="0024535D">
        <w:t>.</w:t>
      </w:r>
    </w:p>
    <w:p w14:paraId="3B7358C8" w14:textId="0D1E3936" w:rsidR="00E7303F" w:rsidRPr="0024535D" w:rsidRDefault="00E7303F" w:rsidP="00700B94">
      <w:pPr>
        <w:pStyle w:val="Paragraphedeliste"/>
        <w:numPr>
          <w:ilvl w:val="0"/>
          <w:numId w:val="29"/>
        </w:numPr>
      </w:pPr>
      <w:r w:rsidRPr="0024535D">
        <w:t xml:space="preserve">Adding </w:t>
      </w:r>
      <w:r w:rsidR="008A2627">
        <w:t>“</w:t>
      </w:r>
      <w:r w:rsidRPr="0024535D">
        <w:t>data available for the generic device group</w:t>
      </w:r>
      <w:r w:rsidR="008A2627">
        <w:t>”</w:t>
      </w:r>
      <w:r w:rsidRPr="0024535D">
        <w:t xml:space="preserve"> introduces uncertainty and may push article 61(10) toward reliance on similar device data which may not accurately reflect the actual safety and performance of the subject device, rather than applying robust evidence</w:t>
      </w:r>
      <w:r w:rsidRPr="0024535D">
        <w:noBreakHyphen/>
        <w:t>based decision-making principles.</w:t>
      </w:r>
    </w:p>
    <w:p w14:paraId="5321C733" w14:textId="197FDAE9" w:rsidR="00E7303F" w:rsidRPr="0024535D" w:rsidRDefault="00E7303F" w:rsidP="00700B94">
      <w:pPr>
        <w:pStyle w:val="Paragraphedeliste"/>
        <w:numPr>
          <w:ilvl w:val="0"/>
          <w:numId w:val="29"/>
        </w:numPr>
      </w:pPr>
      <w:r w:rsidRPr="0024535D">
        <w:t xml:space="preserve">Lack of clarity around </w:t>
      </w:r>
      <w:r w:rsidR="008A2627">
        <w:t>“</w:t>
      </w:r>
      <w:r w:rsidRPr="0024535D">
        <w:t xml:space="preserve">not deemed </w:t>
      </w:r>
      <w:r w:rsidR="008A2627">
        <w:t>appropriate”</w:t>
      </w:r>
      <w:r w:rsidRPr="0024535D">
        <w:t xml:space="preserve"> raises concern that manufacturers might claim article 61(10) in instances where sufficient pre</w:t>
      </w:r>
      <w:r w:rsidRPr="0024535D">
        <w:noBreakHyphen/>
        <w:t xml:space="preserve">market clinical data is possible but difficult to obtain. </w:t>
      </w:r>
    </w:p>
    <w:p w14:paraId="51E3C180" w14:textId="77777777" w:rsidR="00E7303F" w:rsidRPr="0024535D" w:rsidRDefault="00E7303F" w:rsidP="00E7303F">
      <w:pPr>
        <w:spacing w:line="276" w:lineRule="auto"/>
        <w:ind w:left="360"/>
        <w:jc w:val="both"/>
        <w:rPr>
          <w:rFonts w:eastAsia="Times New Roman" w:cs="Arial"/>
          <w:szCs w:val="22"/>
        </w:rPr>
      </w:pPr>
    </w:p>
    <w:p w14:paraId="29831A67" w14:textId="77777777" w:rsidR="00E7303F" w:rsidRPr="0024535D" w:rsidRDefault="00E7303F" w:rsidP="0024535D">
      <w:pPr>
        <w:rPr>
          <w:lang w:val="en-US"/>
        </w:rPr>
      </w:pPr>
      <w:r w:rsidRPr="0024535D">
        <w:rPr>
          <w:lang w:val="en-US"/>
        </w:rPr>
        <w:t>Proposed Amendment: Impact on Patients</w:t>
      </w:r>
    </w:p>
    <w:p w14:paraId="25989F29" w14:textId="77777777" w:rsidR="00E7303F" w:rsidRPr="0024535D" w:rsidRDefault="00E7303F" w:rsidP="00700B94">
      <w:pPr>
        <w:pStyle w:val="Paragraphedeliste"/>
        <w:numPr>
          <w:ilvl w:val="0"/>
          <w:numId w:val="30"/>
        </w:numPr>
        <w:rPr>
          <w:lang w:val="en-US"/>
        </w:rPr>
      </w:pPr>
      <w:r w:rsidRPr="0024535D">
        <w:rPr>
          <w:lang w:val="en-US"/>
        </w:rPr>
        <w:t>Greater risk of devices entering market without device</w:t>
      </w:r>
      <w:r w:rsidRPr="0024535D">
        <w:rPr>
          <w:lang w:val="en-US"/>
        </w:rPr>
        <w:noBreakHyphen/>
        <w:t>specific clinical evidence.</w:t>
      </w:r>
    </w:p>
    <w:p w14:paraId="6B1EB525" w14:textId="77777777" w:rsidR="00E7303F" w:rsidRPr="0024535D" w:rsidRDefault="00E7303F" w:rsidP="00700B94">
      <w:pPr>
        <w:pStyle w:val="Paragraphedeliste"/>
        <w:numPr>
          <w:ilvl w:val="0"/>
          <w:numId w:val="30"/>
        </w:numPr>
        <w:rPr>
          <w:lang w:val="en-US"/>
        </w:rPr>
      </w:pPr>
      <w:r w:rsidRPr="0024535D">
        <w:rPr>
          <w:lang w:val="en-US"/>
        </w:rPr>
        <w:t>Potentially catastrophic consequences if medium risk devices default to evidence</w:t>
      </w:r>
      <w:r w:rsidRPr="0024535D">
        <w:rPr>
          <w:lang w:val="en-US"/>
        </w:rPr>
        <w:noBreakHyphen/>
        <w:t>light pathways.</w:t>
      </w:r>
    </w:p>
    <w:p w14:paraId="141830B3" w14:textId="58FDE087" w:rsidR="00E7303F" w:rsidRPr="0024535D" w:rsidRDefault="00E7303F" w:rsidP="00700B94">
      <w:pPr>
        <w:pStyle w:val="Paragraphedeliste"/>
        <w:numPr>
          <w:ilvl w:val="0"/>
          <w:numId w:val="30"/>
        </w:numPr>
      </w:pPr>
      <w:r w:rsidRPr="0024535D">
        <w:rPr>
          <w:lang w:val="en-US"/>
        </w:rPr>
        <w:t>Delayed detection of harms that only emerge through clinical use.</w:t>
      </w:r>
      <w:r w:rsidRPr="0024535D">
        <w:rPr>
          <w:lang w:val="en-US"/>
        </w:rPr>
        <w:br/>
      </w:r>
    </w:p>
    <w:p w14:paraId="7F10F800" w14:textId="77777777" w:rsidR="00E7303F" w:rsidRPr="0024535D" w:rsidRDefault="00E7303F" w:rsidP="0024535D">
      <w:r w:rsidRPr="0024535D">
        <w:rPr>
          <w:szCs w:val="20"/>
          <w:lang w:val="en-US"/>
        </w:rPr>
        <w:t xml:space="preserve">Proposed Amendment: </w:t>
      </w:r>
      <w:r w:rsidRPr="0024535D">
        <w:t>Impact on Manufacturers</w:t>
      </w:r>
    </w:p>
    <w:p w14:paraId="490701F3" w14:textId="5A99176A" w:rsidR="00E7303F" w:rsidRPr="0024535D" w:rsidRDefault="00E7303F" w:rsidP="00700B94">
      <w:pPr>
        <w:pStyle w:val="Paragraphedeliste"/>
        <w:numPr>
          <w:ilvl w:val="0"/>
          <w:numId w:val="31"/>
        </w:numPr>
      </w:pPr>
      <w:r w:rsidRPr="0024535D">
        <w:t xml:space="preserve">Increased uncertainty and divergent </w:t>
      </w:r>
      <w:r w:rsidR="00D93E8E">
        <w:t>n</w:t>
      </w:r>
      <w:r w:rsidRPr="0024535D">
        <w:t xml:space="preserve">otified </w:t>
      </w:r>
      <w:r w:rsidR="00DF55AB">
        <w:t>b</w:t>
      </w:r>
      <w:r w:rsidRPr="0024535D">
        <w:t>ody interpretations.</w:t>
      </w:r>
    </w:p>
    <w:p w14:paraId="2CE29B20" w14:textId="77777777" w:rsidR="00E7303F" w:rsidRPr="0024535D" w:rsidRDefault="00E7303F" w:rsidP="00700B94">
      <w:pPr>
        <w:pStyle w:val="Paragraphedeliste"/>
        <w:numPr>
          <w:ilvl w:val="0"/>
          <w:numId w:val="31"/>
        </w:numPr>
      </w:pPr>
      <w:r w:rsidRPr="0024535D">
        <w:t>May lead manufacturers to adopt the non</w:t>
      </w:r>
      <w:r w:rsidRPr="0024535D">
        <w:noBreakHyphen/>
        <w:t>clinical route prematurely → later delays when NBs reject insufficient justification.</w:t>
      </w:r>
    </w:p>
    <w:p w14:paraId="0C65D7EB" w14:textId="77777777" w:rsidR="00E7303F" w:rsidRPr="0024535D" w:rsidRDefault="00E7303F" w:rsidP="00700B94">
      <w:pPr>
        <w:pStyle w:val="Paragraphedeliste"/>
        <w:numPr>
          <w:ilvl w:val="0"/>
          <w:numId w:val="31"/>
        </w:numPr>
      </w:pPr>
      <w:r w:rsidRPr="0024535D">
        <w:t>Risk of inefficient planning and repeated clinical strategy rework.</w:t>
      </w:r>
    </w:p>
    <w:p w14:paraId="3A191C2D" w14:textId="77777777" w:rsidR="00E7303F" w:rsidRPr="004A7E5E" w:rsidRDefault="00E7303F" w:rsidP="00E7303F">
      <w:pPr>
        <w:ind w:left="720"/>
        <w:rPr>
          <w:rFonts w:cs="Arial"/>
          <w:sz w:val="20"/>
          <w:szCs w:val="20"/>
        </w:rPr>
      </w:pPr>
    </w:p>
    <w:p w14:paraId="705AC0F6" w14:textId="70F46B0A" w:rsidR="00E7303F" w:rsidRPr="0024535D" w:rsidRDefault="00E7303F" w:rsidP="00E7303F">
      <w:pPr>
        <w:pStyle w:val="ISOSecretObservations"/>
        <w:spacing w:before="60" w:after="60" w:line="276" w:lineRule="auto"/>
        <w:rPr>
          <w:rStyle w:val="Accentuationintense"/>
          <w:rFonts w:eastAsiaTheme="majorEastAsia"/>
        </w:rPr>
      </w:pPr>
      <w:r w:rsidRPr="0024535D">
        <w:rPr>
          <w:rStyle w:val="Accentuationintense"/>
          <w:rFonts w:eastAsiaTheme="majorEastAsia"/>
        </w:rPr>
        <w:t>Team</w:t>
      </w:r>
      <w:r w:rsidR="000E2ED9">
        <w:rPr>
          <w:rStyle w:val="Accentuationintense"/>
          <w:rFonts w:eastAsiaTheme="majorEastAsia"/>
        </w:rPr>
        <w:t>-</w:t>
      </w:r>
      <w:r w:rsidRPr="0024535D">
        <w:rPr>
          <w:rStyle w:val="Accentuationintense"/>
          <w:rFonts w:eastAsiaTheme="majorEastAsia"/>
        </w:rPr>
        <w:t>NB Propos</w:t>
      </w:r>
      <w:r w:rsidR="000B608E">
        <w:rPr>
          <w:rStyle w:val="Accentuationintense"/>
          <w:rFonts w:eastAsiaTheme="majorEastAsia"/>
        </w:rPr>
        <w:t>al</w:t>
      </w:r>
    </w:p>
    <w:p w14:paraId="64A99CAB" w14:textId="6BBB5A30" w:rsidR="00E7303F" w:rsidRPr="0024535D" w:rsidRDefault="00E7303F" w:rsidP="0024535D">
      <w:r w:rsidRPr="0024535D">
        <w:t>Team</w:t>
      </w:r>
      <w:r w:rsidR="000E2ED9">
        <w:t>-</w:t>
      </w:r>
      <w:r w:rsidRPr="0024535D">
        <w:t>NB proposes a structural change:</w:t>
      </w:r>
    </w:p>
    <w:p w14:paraId="59EC3D56" w14:textId="77777777" w:rsidR="00E7303F" w:rsidRPr="0024535D" w:rsidRDefault="00E7303F" w:rsidP="00700B94">
      <w:pPr>
        <w:pStyle w:val="Paragraphedeliste"/>
        <w:numPr>
          <w:ilvl w:val="0"/>
          <w:numId w:val="32"/>
        </w:numPr>
      </w:pPr>
      <w:r w:rsidRPr="0024535D">
        <w:t>Remove Article 61(10) entirely, and</w:t>
      </w:r>
    </w:p>
    <w:p w14:paraId="56F9F7B0" w14:textId="77777777" w:rsidR="00E7303F" w:rsidRPr="0024535D" w:rsidRDefault="00E7303F" w:rsidP="00700B94">
      <w:pPr>
        <w:pStyle w:val="Paragraphedeliste"/>
        <w:numPr>
          <w:ilvl w:val="0"/>
          <w:numId w:val="32"/>
        </w:numPr>
      </w:pPr>
      <w:r w:rsidRPr="0024535D">
        <w:t>Remove the reference to paragraph 10 in the proposed amended text for article 61.1</w:t>
      </w:r>
    </w:p>
    <w:p w14:paraId="1723216C" w14:textId="77777777" w:rsidR="008A2627" w:rsidRDefault="00E7303F" w:rsidP="002F758A">
      <w:pPr>
        <w:spacing w:after="0" w:line="276" w:lineRule="auto"/>
      </w:pPr>
      <w:r w:rsidRPr="0024535D">
        <w:t>This would shift the focus back to:</w:t>
      </w:r>
    </w:p>
    <w:p w14:paraId="59986D14" w14:textId="50216E45" w:rsidR="008A2627" w:rsidRDefault="00E7303F" w:rsidP="00700B94">
      <w:pPr>
        <w:pStyle w:val="Paragraphedeliste"/>
        <w:numPr>
          <w:ilvl w:val="0"/>
          <w:numId w:val="33"/>
        </w:numPr>
        <w:spacing w:after="0" w:line="276" w:lineRule="auto"/>
      </w:pPr>
      <w:r w:rsidRPr="0024535D">
        <w:lastRenderedPageBreak/>
        <w:t>Assessing sufficiency of all available clinical and/or non</w:t>
      </w:r>
      <w:r w:rsidRPr="0024535D">
        <w:noBreakHyphen/>
        <w:t>clinical evidence for each device</w:t>
      </w:r>
    </w:p>
    <w:p w14:paraId="4EA006E9" w14:textId="2D90209D" w:rsidR="00E7303F" w:rsidRPr="0024535D" w:rsidRDefault="00E7303F" w:rsidP="00700B94">
      <w:pPr>
        <w:pStyle w:val="Paragraphedeliste"/>
        <w:numPr>
          <w:ilvl w:val="0"/>
          <w:numId w:val="33"/>
        </w:numPr>
        <w:spacing w:after="0" w:line="276" w:lineRule="auto"/>
      </w:pPr>
      <w:r w:rsidRPr="0024535D">
        <w:t>Reducing debate over article interpretation and improving transparency and predictability.</w:t>
      </w:r>
    </w:p>
    <w:p w14:paraId="6C35E8AA" w14:textId="0D7FD183" w:rsidR="00E7303F" w:rsidRPr="0024535D" w:rsidRDefault="00E7303F" w:rsidP="0024535D">
      <w:r w:rsidRPr="0024535D">
        <w:br/>
        <w:t xml:space="preserve">In addition, at the time of publication of the amendment, the </w:t>
      </w:r>
      <w:r w:rsidR="009628CC">
        <w:t>C</w:t>
      </w:r>
      <w:r w:rsidRPr="0024535D">
        <w:t xml:space="preserve">ommission must provide manufacturers and notified bodies with proper guidance to ensure consistent interpretation and implementation of the criteria for justifying the necessary level of clinical data, clearly reinforcing </w:t>
      </w:r>
      <w:r w:rsidRPr="0024535D">
        <w:rPr>
          <w:rFonts w:eastAsia="Times New Roman"/>
        </w:rPr>
        <w:t>point 63 of the MDR preamble</w:t>
      </w:r>
      <w:r w:rsidRPr="0024535D">
        <w:rPr>
          <w:rStyle w:val="Appelnotedebasdep"/>
          <w:rFonts w:eastAsia="Times New Roman" w:cs="Arial"/>
          <w:szCs w:val="22"/>
        </w:rPr>
        <w:footnoteReference w:id="3"/>
      </w:r>
      <w:r w:rsidRPr="0024535D">
        <w:rPr>
          <w:rFonts w:eastAsia="Times New Roman"/>
        </w:rPr>
        <w:t xml:space="preserve">, </w:t>
      </w:r>
      <w:r w:rsidRPr="0024535D">
        <w:t xml:space="preserve">that normally some clinical data should be provided and that reliance on non-clinical data alone should only apply to devices where clinical data does not inform on safety and/or </w:t>
      </w:r>
      <w:r w:rsidRPr="00F26E61">
        <w:t>performance.</w:t>
      </w:r>
      <w:r w:rsidR="006B480B" w:rsidRPr="00F26E61">
        <w:t xml:space="preserve"> </w:t>
      </w:r>
      <w:r w:rsidR="006B480B" w:rsidRPr="00F26E61">
        <w:rPr>
          <w:i/>
          <w:iCs w:val="0"/>
          <w:lang w:eastAsia="en-GB"/>
        </w:rPr>
        <w:t>(see Table, Ref. no. 33)</w:t>
      </w:r>
    </w:p>
    <w:p w14:paraId="6B2BC1A8" w14:textId="77777777" w:rsidR="00E7303F" w:rsidRPr="004A7E5E" w:rsidRDefault="00E7303F" w:rsidP="00E7303F">
      <w:pPr>
        <w:rPr>
          <w:rFonts w:cs="Arial"/>
          <w:sz w:val="20"/>
          <w:szCs w:val="20"/>
        </w:rPr>
      </w:pPr>
    </w:p>
    <w:p w14:paraId="08B14CA3" w14:textId="77777777" w:rsidR="00E7303F" w:rsidRPr="004A7E5E" w:rsidRDefault="00E7303F" w:rsidP="002542E6">
      <w:pPr>
        <w:pStyle w:val="Titre2"/>
      </w:pPr>
      <w:bookmarkStart w:id="274" w:name="_Toc224888463"/>
      <w:bookmarkStart w:id="275" w:name="_Toc226533695"/>
      <w:r w:rsidRPr="004A7E5E">
        <w:t>Equivalence (Article 61 (5) and Annex XIV Part A (3))</w:t>
      </w:r>
      <w:bookmarkEnd w:id="274"/>
      <w:bookmarkEnd w:id="275"/>
    </w:p>
    <w:p w14:paraId="0D95362A" w14:textId="23D366A0" w:rsidR="00377CC0" w:rsidRPr="0024535D" w:rsidRDefault="00E7303F" w:rsidP="0024535D">
      <w:r w:rsidRPr="0024535D">
        <w:t>Team</w:t>
      </w:r>
      <w:r w:rsidR="009628CC">
        <w:t>-</w:t>
      </w:r>
      <w:r w:rsidRPr="0024535D">
        <w:t xml:space="preserve">NB welcomes the </w:t>
      </w:r>
      <w:r w:rsidR="00433432">
        <w:t>C</w:t>
      </w:r>
      <w:r w:rsidRPr="0024535D">
        <w:t xml:space="preserve">ommissions efforts to introduce greater pragmatism to demonstration of equivalence and supports expansion of biological equivalence to allow for consideration the same or similar materials or substances. However, it is important to emphasise that permitting the use of similar materials may lead to the introduction of unforeseeable medium-to-long-term risks to the patient. Thus, to support patient safety and ensure consistent interpretation and implementation, it is critical that the </w:t>
      </w:r>
      <w:r w:rsidR="00022689">
        <w:t>C</w:t>
      </w:r>
      <w:r w:rsidRPr="0024535D">
        <w:t>ommission provide manufacturers and notified bodies with proper guidance at the time of publication of the amendment.</w:t>
      </w:r>
    </w:p>
    <w:p w14:paraId="11C06FC1" w14:textId="723C47ED" w:rsidR="00377CC0" w:rsidRDefault="00E7303F" w:rsidP="008A2627">
      <w:r w:rsidRPr="0024535D">
        <w:t xml:space="preserve">Regarding clinical equivalence, the proposal to broaden the criteria for demonstration of clinical equivalence by allowing for the use of the </w:t>
      </w:r>
      <w:r w:rsidRPr="0024535D">
        <w:rPr>
          <w:rFonts w:hint="eastAsia"/>
        </w:rPr>
        <w:t>“</w:t>
      </w:r>
      <w:r w:rsidRPr="0024535D">
        <w:t>same or similar clinical condition</w:t>
      </w:r>
      <w:r w:rsidRPr="0024535D">
        <w:rPr>
          <w:rFonts w:hint="eastAsia"/>
        </w:rPr>
        <w:t>”</w:t>
      </w:r>
      <w:r w:rsidRPr="0024535D">
        <w:t xml:space="preserve"> raises several concerns:</w:t>
      </w:r>
    </w:p>
    <w:p w14:paraId="4489A24D" w14:textId="72D753F0" w:rsidR="00377CC0" w:rsidRPr="00377CC0" w:rsidRDefault="00377CC0" w:rsidP="00700B94">
      <w:pPr>
        <w:pStyle w:val="Paragraphedeliste"/>
        <w:numPr>
          <w:ilvl w:val="0"/>
          <w:numId w:val="34"/>
        </w:numPr>
        <w:rPr>
          <w:rFonts w:cs="Arial"/>
          <w:szCs w:val="22"/>
        </w:rPr>
      </w:pPr>
      <w:r>
        <w:t>Allowing “</w:t>
      </w:r>
      <w:r w:rsidRPr="006557BA">
        <w:t>same or similar</w:t>
      </w:r>
      <w:r>
        <w:t>”</w:t>
      </w:r>
      <w:r w:rsidRPr="006557BA">
        <w:t xml:space="preserve"> clinical conditions will lower the requirement to below that of the medical device directives and thereby undermines MDR</w:t>
      </w:r>
      <w:r>
        <w:t>’</w:t>
      </w:r>
      <w:r w:rsidRPr="006557BA">
        <w:t>s core intent to improve patient safety</w:t>
      </w:r>
    </w:p>
    <w:p w14:paraId="70D23E9F" w14:textId="09A5D30E" w:rsidR="00377CC0" w:rsidRPr="00377CC0" w:rsidRDefault="00377CC0" w:rsidP="00700B94">
      <w:pPr>
        <w:pStyle w:val="Paragraphedeliste"/>
        <w:numPr>
          <w:ilvl w:val="0"/>
          <w:numId w:val="34"/>
        </w:numPr>
        <w:rPr>
          <w:rFonts w:cs="Arial"/>
          <w:szCs w:val="22"/>
        </w:rPr>
      </w:pPr>
      <w:r>
        <w:t>“</w:t>
      </w:r>
      <w:r w:rsidRPr="00BB389E">
        <w:t>Similar</w:t>
      </w:r>
      <w:r>
        <w:t>”</w:t>
      </w:r>
      <w:r w:rsidRPr="00BB389E">
        <w:t xml:space="preserve"> clinical conditions may share pathology but differ significantly in treatment strategy and outcomes</w:t>
      </w:r>
      <w:r w:rsidRPr="00BB389E">
        <w:rPr>
          <w:rFonts w:hint="eastAsia"/>
        </w:rPr>
        <w:t>—</w:t>
      </w:r>
      <w:r w:rsidRPr="00BB389E">
        <w:t>leading to inappropriate equivalence conclusions (e.g., peripheral vs. coronary artery disease stent behaviour).</w:t>
      </w:r>
    </w:p>
    <w:p w14:paraId="4FCEC83F" w14:textId="77777777" w:rsidR="00377CC0" w:rsidRPr="00020DCC" w:rsidRDefault="00377CC0" w:rsidP="00700B94">
      <w:pPr>
        <w:pStyle w:val="Paragraphedeliste"/>
        <w:numPr>
          <w:ilvl w:val="0"/>
          <w:numId w:val="34"/>
        </w:numPr>
      </w:pPr>
      <w:r w:rsidRPr="00020DCC">
        <w:t>If all three equivalence criteria (technical, biological, and clinical) can be based on similarity, it brings into question how the claimed equivalent device</w:t>
      </w:r>
      <w:r>
        <w:t>’</w:t>
      </w:r>
      <w:r w:rsidRPr="00020DCC">
        <w:t xml:space="preserve">s data can be considered to accurately reflect the safety and performance of the device under evaluation. Indeed, it can be argued that such an approach could annul the validity and robustness of the equivalence claim. </w:t>
      </w:r>
    </w:p>
    <w:p w14:paraId="3F59757D" w14:textId="77777777" w:rsidR="00E7303F" w:rsidRPr="0024535D" w:rsidRDefault="00E7303F" w:rsidP="00E7303F">
      <w:pPr>
        <w:spacing w:after="0" w:line="276" w:lineRule="auto"/>
        <w:ind w:left="720"/>
        <w:rPr>
          <w:rFonts w:cs="Arial"/>
          <w:szCs w:val="22"/>
        </w:rPr>
      </w:pPr>
    </w:p>
    <w:p w14:paraId="65FD0816" w14:textId="77777777" w:rsidR="00E7303F" w:rsidRPr="0024535D" w:rsidRDefault="00E7303F" w:rsidP="0024535D">
      <w:pPr>
        <w:rPr>
          <w:lang w:val="en-US"/>
        </w:rPr>
      </w:pPr>
      <w:r w:rsidRPr="0024535D">
        <w:rPr>
          <w:lang w:val="en-US"/>
        </w:rPr>
        <w:t>Proposed Amendment: Impact on Patients</w:t>
      </w:r>
    </w:p>
    <w:p w14:paraId="372C2AD4" w14:textId="77777777" w:rsidR="00E7303F" w:rsidRPr="0024535D" w:rsidRDefault="00E7303F" w:rsidP="00700B94">
      <w:pPr>
        <w:pStyle w:val="Paragraphedeliste"/>
        <w:numPr>
          <w:ilvl w:val="0"/>
          <w:numId w:val="35"/>
        </w:numPr>
      </w:pPr>
      <w:r w:rsidRPr="0024535D">
        <w:t>Increased probability that devices enter the market without evidence relevant to their intended population, leading to safety and performance failures.</w:t>
      </w:r>
    </w:p>
    <w:p w14:paraId="3473E401" w14:textId="7FAF5CDA" w:rsidR="00E7303F" w:rsidRPr="0024535D" w:rsidRDefault="00E7303F" w:rsidP="00700B94">
      <w:pPr>
        <w:pStyle w:val="Paragraphedeliste"/>
        <w:numPr>
          <w:ilvl w:val="0"/>
          <w:numId w:val="35"/>
        </w:numPr>
      </w:pPr>
      <w:r w:rsidRPr="0024535D">
        <w:lastRenderedPageBreak/>
        <w:t xml:space="preserve">Greater inconsistency between </w:t>
      </w:r>
      <w:r w:rsidR="00DF55AB">
        <w:t>n</w:t>
      </w:r>
      <w:r w:rsidRPr="0024535D">
        <w:t xml:space="preserve">otified </w:t>
      </w:r>
      <w:r w:rsidR="00DF55AB">
        <w:t>b</w:t>
      </w:r>
      <w:r w:rsidRPr="0024535D">
        <w:t>odies creates unequal patient protection across the EU.</w:t>
      </w:r>
    </w:p>
    <w:p w14:paraId="5CFEBDCC" w14:textId="77777777" w:rsidR="00E7303F" w:rsidRPr="0024535D" w:rsidRDefault="00E7303F" w:rsidP="00700B94">
      <w:pPr>
        <w:pStyle w:val="Paragraphedeliste"/>
        <w:numPr>
          <w:ilvl w:val="0"/>
          <w:numId w:val="35"/>
        </w:numPr>
      </w:pPr>
      <w:r w:rsidRPr="0024535D">
        <w:t>Devices with substantially different risk profiles could be approved based on relaxed equivalence criteria.</w:t>
      </w:r>
    </w:p>
    <w:p w14:paraId="178BB75F" w14:textId="77777777" w:rsidR="00495F54" w:rsidRDefault="00495F54" w:rsidP="00E7303F">
      <w:pPr>
        <w:spacing w:after="0" w:line="276" w:lineRule="auto"/>
        <w:jc w:val="both"/>
        <w:rPr>
          <w:rFonts w:eastAsia="Times New Roman" w:cs="Arial"/>
          <w:szCs w:val="22"/>
          <w:lang w:val="en-US"/>
        </w:rPr>
      </w:pPr>
    </w:p>
    <w:p w14:paraId="33C4273B" w14:textId="77777777" w:rsidR="00E7303F" w:rsidRPr="0024535D" w:rsidRDefault="00E7303F" w:rsidP="0024535D">
      <w:r w:rsidRPr="0024535D">
        <w:rPr>
          <w:rFonts w:eastAsia="Times New Roman"/>
          <w:lang w:val="en-US"/>
        </w:rPr>
        <w:t>Proposed Amendment:</w:t>
      </w:r>
      <w:r w:rsidRPr="0024535D">
        <w:rPr>
          <w:lang w:val="en-US"/>
        </w:rPr>
        <w:t xml:space="preserve"> </w:t>
      </w:r>
      <w:r w:rsidRPr="0024535D">
        <w:t>Impact on Manufacturers</w:t>
      </w:r>
    </w:p>
    <w:p w14:paraId="0721E066" w14:textId="77777777" w:rsidR="00E7303F" w:rsidRPr="0024535D" w:rsidRDefault="00E7303F" w:rsidP="0024535D">
      <w:r w:rsidRPr="0024535D">
        <w:t>Positive short</w:t>
      </w:r>
      <w:r w:rsidRPr="0024535D">
        <w:noBreakHyphen/>
        <w:t>term:</w:t>
      </w:r>
    </w:p>
    <w:p w14:paraId="39AA53FD" w14:textId="77777777" w:rsidR="00E7303F" w:rsidRPr="0024535D" w:rsidRDefault="00E7303F" w:rsidP="00700B94">
      <w:pPr>
        <w:pStyle w:val="Paragraphedeliste"/>
        <w:numPr>
          <w:ilvl w:val="0"/>
          <w:numId w:val="36"/>
        </w:numPr>
      </w:pPr>
      <w:r w:rsidRPr="0024535D">
        <w:t>It may be simpler to justify equivalence and reduce the need for new clinical investigations.</w:t>
      </w:r>
    </w:p>
    <w:p w14:paraId="5664EDD2" w14:textId="77777777" w:rsidR="00E7303F" w:rsidRPr="0024535D" w:rsidRDefault="00E7303F" w:rsidP="00700B94">
      <w:pPr>
        <w:pStyle w:val="Paragraphedeliste"/>
        <w:numPr>
          <w:ilvl w:val="0"/>
          <w:numId w:val="36"/>
        </w:numPr>
      </w:pPr>
      <w:r w:rsidRPr="0024535D">
        <w:t>Negative long</w:t>
      </w:r>
      <w:r w:rsidRPr="0024535D">
        <w:noBreakHyphen/>
        <w:t>term:</w:t>
      </w:r>
    </w:p>
    <w:p w14:paraId="7904741E" w14:textId="77777777" w:rsidR="00E7303F" w:rsidRPr="0024535D" w:rsidRDefault="00E7303F" w:rsidP="00700B94">
      <w:pPr>
        <w:pStyle w:val="Paragraphedeliste"/>
        <w:numPr>
          <w:ilvl w:val="0"/>
          <w:numId w:val="36"/>
        </w:numPr>
      </w:pPr>
      <w:r w:rsidRPr="0024535D">
        <w:t>Increased unpredictability in NB acceptance of equivalence rationale.</w:t>
      </w:r>
    </w:p>
    <w:p w14:paraId="6104A9D0" w14:textId="38E89687" w:rsidR="00E7303F" w:rsidRPr="00377CC0" w:rsidRDefault="00E7303F" w:rsidP="00700B94">
      <w:pPr>
        <w:pStyle w:val="Paragraphedeliste"/>
        <w:numPr>
          <w:ilvl w:val="0"/>
          <w:numId w:val="36"/>
        </w:numPr>
        <w:spacing w:after="0" w:line="276" w:lineRule="auto"/>
        <w:rPr>
          <w:rFonts w:cs="Arial"/>
          <w:sz w:val="20"/>
          <w:szCs w:val="20"/>
        </w:rPr>
      </w:pPr>
      <w:r w:rsidRPr="0024535D">
        <w:t xml:space="preserve">Potential misalignment with international regulators (e.g., FDA does not accept </w:t>
      </w:r>
      <w:r w:rsidR="000B608E">
        <w:t>“</w:t>
      </w:r>
      <w:r w:rsidRPr="0024535D">
        <w:t>similar</w:t>
      </w:r>
      <w:r w:rsidR="000B608E">
        <w:t>”</w:t>
      </w:r>
      <w:r w:rsidRPr="0024535D">
        <w:t xml:space="preserve"> for clinical equivalence), risking global market strategy complications.</w:t>
      </w:r>
      <w:r w:rsidRPr="0024535D">
        <w:br/>
      </w:r>
    </w:p>
    <w:p w14:paraId="0AF37352" w14:textId="0014DC80" w:rsidR="00E7303F" w:rsidRPr="0024535D" w:rsidRDefault="00E7303F" w:rsidP="00E7303F">
      <w:pPr>
        <w:pStyle w:val="ISOSecretObservations"/>
        <w:spacing w:before="60" w:after="60" w:line="276" w:lineRule="auto"/>
        <w:rPr>
          <w:rStyle w:val="Accentuationintense"/>
          <w:rFonts w:eastAsiaTheme="majorEastAsia"/>
        </w:rPr>
      </w:pPr>
      <w:r w:rsidRPr="0024535D">
        <w:rPr>
          <w:rStyle w:val="Accentuationintense"/>
          <w:rFonts w:eastAsiaTheme="majorEastAsia"/>
        </w:rPr>
        <w:t>Team</w:t>
      </w:r>
      <w:r w:rsidR="007A3F10">
        <w:rPr>
          <w:rStyle w:val="Accentuationintense"/>
          <w:rFonts w:eastAsiaTheme="majorEastAsia"/>
        </w:rPr>
        <w:t>-</w:t>
      </w:r>
      <w:r w:rsidRPr="0024535D">
        <w:rPr>
          <w:rStyle w:val="Accentuationintense"/>
          <w:rFonts w:eastAsiaTheme="majorEastAsia"/>
        </w:rPr>
        <w:t>NB Propos</w:t>
      </w:r>
      <w:r w:rsidR="000B608E">
        <w:rPr>
          <w:rStyle w:val="Accentuationintense"/>
          <w:rFonts w:eastAsiaTheme="majorEastAsia"/>
        </w:rPr>
        <w:t>al:</w:t>
      </w:r>
    </w:p>
    <w:p w14:paraId="389BD3B3" w14:textId="2C957026" w:rsidR="00E7303F" w:rsidRPr="0024535D" w:rsidRDefault="00E7303F" w:rsidP="00700B94">
      <w:pPr>
        <w:pStyle w:val="Paragraphedeliste"/>
        <w:numPr>
          <w:ilvl w:val="0"/>
          <w:numId w:val="37"/>
        </w:numPr>
        <w:rPr>
          <w:lang w:val="en-US"/>
        </w:rPr>
      </w:pPr>
      <w:r w:rsidRPr="0024535D">
        <w:rPr>
          <w:lang w:val="en-US"/>
        </w:rPr>
        <w:t xml:space="preserve">Retain the current wording of the clinical characteristics specified by Annex XIV Part A (3), thereby preserving </w:t>
      </w:r>
      <w:r w:rsidRPr="0024535D">
        <w:t>a scientifically defensible basis for using another device</w:t>
      </w:r>
      <w:r w:rsidR="000B608E">
        <w:t>’</w:t>
      </w:r>
      <w:r w:rsidRPr="0024535D">
        <w:t>s data.</w:t>
      </w:r>
    </w:p>
    <w:p w14:paraId="4D155BBC" w14:textId="7BFC2B3B" w:rsidR="00E7303F" w:rsidRPr="0024535D" w:rsidRDefault="004A1EA0" w:rsidP="0024535D">
      <w:pPr>
        <w:rPr>
          <w:i/>
          <w:iCs w:val="0"/>
          <w:sz w:val="20"/>
          <w:szCs w:val="20"/>
          <w:lang w:val="en-US"/>
        </w:rPr>
      </w:pPr>
      <w:r w:rsidRPr="0024535D">
        <w:rPr>
          <w:i/>
          <w:iCs w:val="0"/>
          <w:lang w:val="en-US"/>
        </w:rPr>
        <w:t>“</w:t>
      </w:r>
      <w:r w:rsidR="00E7303F" w:rsidRPr="0024535D">
        <w:rPr>
          <w:i/>
          <w:iCs w:val="0"/>
          <w:lang w:val="en-US"/>
        </w:rPr>
        <w:t>Clinical: the device is used for the same clinical condition or purpose, including similar severity and stage of disease, at the same site in the body, in a similar population, including as regards age, anatomy and physiology; has the same kind of user; has similar relevant critical performance in view of the expected clinical effect for a specific intended purpose</w:t>
      </w:r>
      <w:r w:rsidRPr="0024535D">
        <w:rPr>
          <w:i/>
          <w:iCs w:val="0"/>
          <w:lang w:val="en-US"/>
        </w:rPr>
        <w:t>”</w:t>
      </w:r>
    </w:p>
    <w:p w14:paraId="476D0FBE" w14:textId="77777777" w:rsidR="00E7303F" w:rsidRPr="0024535D" w:rsidRDefault="00E7303F" w:rsidP="00700B94">
      <w:pPr>
        <w:pStyle w:val="Paragraphedeliste"/>
        <w:numPr>
          <w:ilvl w:val="0"/>
          <w:numId w:val="37"/>
        </w:numPr>
        <w:rPr>
          <w:lang w:val="en-US"/>
        </w:rPr>
      </w:pPr>
      <w:r w:rsidRPr="0024535D">
        <w:rPr>
          <w:lang w:val="en-US"/>
        </w:rPr>
        <w:t>Biological equivalence:</w:t>
      </w:r>
    </w:p>
    <w:p w14:paraId="3E01BAB3" w14:textId="03796C81" w:rsidR="00E7303F" w:rsidRPr="0024535D" w:rsidRDefault="00E7303F" w:rsidP="0024535D">
      <w:pPr>
        <w:rPr>
          <w:lang w:val="en-US"/>
        </w:rPr>
      </w:pPr>
      <w:r w:rsidRPr="0024535D">
        <w:rPr>
          <w:lang w:val="en-US"/>
        </w:rPr>
        <w:t xml:space="preserve">At the time of publication of the amendment, the </w:t>
      </w:r>
      <w:r w:rsidR="000410F0">
        <w:rPr>
          <w:lang w:val="en-US"/>
        </w:rPr>
        <w:t>C</w:t>
      </w:r>
      <w:r w:rsidRPr="0024535D">
        <w:rPr>
          <w:lang w:val="en-US"/>
        </w:rPr>
        <w:t xml:space="preserve">ommission must provide manufacturers and notified bodies with proper guidance to ensure consistent interpretation and implementation of the criteria for demonstration of </w:t>
      </w:r>
      <w:r w:rsidRPr="00F26E61">
        <w:rPr>
          <w:lang w:val="en-US"/>
        </w:rPr>
        <w:t xml:space="preserve">similarity. </w:t>
      </w:r>
      <w:r w:rsidR="00BC6D64" w:rsidRPr="00F26E61">
        <w:rPr>
          <w:i/>
          <w:iCs w:val="0"/>
          <w:lang w:eastAsia="en-GB"/>
        </w:rPr>
        <w:t>(see Table, Ref. no. 32)</w:t>
      </w:r>
    </w:p>
    <w:p w14:paraId="4DC628D8" w14:textId="77777777" w:rsidR="00B55425" w:rsidRDefault="00B55425" w:rsidP="0024535D">
      <w:pPr>
        <w:pStyle w:val="Titre2"/>
        <w:numPr>
          <w:ilvl w:val="0"/>
          <w:numId w:val="0"/>
        </w:numPr>
      </w:pPr>
      <w:bookmarkStart w:id="276" w:name="_Toc224888464"/>
    </w:p>
    <w:p w14:paraId="16346EB0" w14:textId="6FEC0D46" w:rsidR="00E7303F" w:rsidRPr="004A7E5E" w:rsidRDefault="00E7303F" w:rsidP="002542E6">
      <w:pPr>
        <w:pStyle w:val="Titre2"/>
      </w:pPr>
      <w:bookmarkStart w:id="277" w:name="_Toc226533696"/>
      <w:r w:rsidRPr="004A7E5E">
        <w:t>Clinical Evaluation Consultation Procedure (CECP) &amp; Scrutiny (Articles 54 &amp; 55)</w:t>
      </w:r>
      <w:bookmarkEnd w:id="276"/>
      <w:bookmarkEnd w:id="277"/>
    </w:p>
    <w:p w14:paraId="1B77748A" w14:textId="77777777" w:rsidR="00E7303F" w:rsidRPr="0024535D" w:rsidRDefault="00E7303F" w:rsidP="0024535D">
      <w:pPr>
        <w:rPr>
          <w:lang w:val="en-US"/>
        </w:rPr>
      </w:pPr>
      <w:r w:rsidRPr="0024535D">
        <w:rPr>
          <w:lang w:val="en-US"/>
        </w:rPr>
        <w:t xml:space="preserve">This section examines proposed revisions to the EU MDR/IVDR, focusing on changes to the Clinical Evaluation Consultation Procedure (CECP), the scrutiny mechanism, and expert panel involvement. It highlights practical challenges arising from </w:t>
      </w:r>
      <w:proofErr w:type="spellStart"/>
      <w:r w:rsidRPr="0024535D">
        <w:rPr>
          <w:lang w:val="en-US"/>
        </w:rPr>
        <w:t>harmonised</w:t>
      </w:r>
      <w:proofErr w:type="spellEnd"/>
      <w:r w:rsidRPr="0024535D">
        <w:rPr>
          <w:lang w:val="en-US"/>
        </w:rPr>
        <w:t xml:space="preserve"> standards, transparency gaps, and unclear operational processes. The document also evaluates the implications of revised scrutiny pathways and the role of expert laboratories. Finally, it outlines opportunities to improve early expert engagement to support innovation and ensure consistent, predictable conformity assessment.</w:t>
      </w:r>
    </w:p>
    <w:p w14:paraId="4C60759B" w14:textId="6C8460E6" w:rsidR="004A1EA0" w:rsidRDefault="00E7303F" w:rsidP="0024535D">
      <w:pPr>
        <w:rPr>
          <w:lang w:val="en-US"/>
        </w:rPr>
      </w:pPr>
      <w:r w:rsidRPr="0024535D">
        <w:rPr>
          <w:lang w:val="en-US"/>
        </w:rPr>
        <w:t>In the first paragraph of Article 54, the requirement to perform CECP is reduced to class III</w:t>
      </w:r>
      <w:r w:rsidR="004A1EA0">
        <w:rPr>
          <w:lang w:val="en-US"/>
        </w:rPr>
        <w:t xml:space="preserve"> </w:t>
      </w:r>
      <w:r w:rsidRPr="0024535D">
        <w:rPr>
          <w:lang w:val="en-US"/>
        </w:rPr>
        <w:t xml:space="preserve">implantable devices only. </w:t>
      </w:r>
    </w:p>
    <w:p w14:paraId="0B59D8C4" w14:textId="77777777" w:rsidR="00F43A6D" w:rsidRDefault="00E7303F" w:rsidP="0024535D">
      <w:pPr>
        <w:rPr>
          <w:lang w:val="en-US"/>
        </w:rPr>
      </w:pPr>
      <w:r w:rsidRPr="0024535D">
        <w:rPr>
          <w:lang w:val="en-US"/>
        </w:rPr>
        <w:t>In Article 54(2), it is outlined that CECP is not required in the following cases:</w:t>
      </w:r>
    </w:p>
    <w:p w14:paraId="1B2B5BBA" w14:textId="2295ECCB" w:rsidR="00F43A6D" w:rsidRPr="00CB668C" w:rsidRDefault="00E7303F" w:rsidP="00700B94">
      <w:pPr>
        <w:pStyle w:val="Paragraphedeliste"/>
        <w:numPr>
          <w:ilvl w:val="0"/>
          <w:numId w:val="38"/>
        </w:numPr>
        <w:rPr>
          <w:lang w:val="en-US"/>
        </w:rPr>
      </w:pPr>
      <w:r w:rsidRPr="0024535D">
        <w:rPr>
          <w:lang w:val="en-US"/>
        </w:rPr>
        <w:t>for a renewal of a certificate issued under this Regulation;</w:t>
      </w:r>
    </w:p>
    <w:p w14:paraId="50C2A7B3" w14:textId="37F02EEC" w:rsidR="00F43A6D" w:rsidRPr="00CB668C" w:rsidRDefault="00E7303F" w:rsidP="00700B94">
      <w:pPr>
        <w:pStyle w:val="Paragraphedeliste"/>
        <w:numPr>
          <w:ilvl w:val="0"/>
          <w:numId w:val="38"/>
        </w:numPr>
        <w:rPr>
          <w:lang w:val="en-US"/>
        </w:rPr>
      </w:pPr>
      <w:r w:rsidRPr="0024535D">
        <w:rPr>
          <w:lang w:val="en-US"/>
        </w:rPr>
        <w:t xml:space="preserve">where the device has been designed by modifying a device already marketed for the same intended purpose, provided that the manufacturer has demonstrated to the </w:t>
      </w:r>
      <w:r w:rsidRPr="0024535D">
        <w:rPr>
          <w:lang w:val="en-US"/>
        </w:rPr>
        <w:lastRenderedPageBreak/>
        <w:t>satisfaction of the notified body that the modifications do not adversely affect the benefit</w:t>
      </w:r>
      <w:r w:rsidRPr="0024535D">
        <w:rPr>
          <w:lang w:val="en-US"/>
        </w:rPr>
        <w:noBreakHyphen/>
        <w:t>risk ratio of the device;</w:t>
      </w:r>
    </w:p>
    <w:p w14:paraId="07FF7DB2" w14:textId="4AC049A7" w:rsidR="00E7303F" w:rsidRPr="0024535D" w:rsidRDefault="00E7303F" w:rsidP="00700B94">
      <w:pPr>
        <w:pStyle w:val="Paragraphedeliste"/>
        <w:numPr>
          <w:ilvl w:val="0"/>
          <w:numId w:val="38"/>
        </w:numPr>
        <w:rPr>
          <w:lang w:val="en-US"/>
        </w:rPr>
      </w:pPr>
      <w:r w:rsidRPr="0024535D">
        <w:rPr>
          <w:lang w:val="en-US"/>
        </w:rPr>
        <w:t xml:space="preserve">where the principles of the clinical evaluation of the device type or category have been addressed in a </w:t>
      </w:r>
      <w:proofErr w:type="spellStart"/>
      <w:r w:rsidRPr="0024535D">
        <w:rPr>
          <w:lang w:val="en-US"/>
        </w:rPr>
        <w:t>harmonised</w:t>
      </w:r>
      <w:proofErr w:type="spellEnd"/>
      <w:r w:rsidRPr="0024535D">
        <w:rPr>
          <w:lang w:val="en-US"/>
        </w:rPr>
        <w:t xml:space="preserve"> standard referred to in Article 8 or in CS referred to in Article 9, and the notified body confirms that the clinical evaluation of the manufacturer for this device is in compliance with the relevant </w:t>
      </w:r>
      <w:proofErr w:type="spellStart"/>
      <w:r w:rsidRPr="0024535D">
        <w:rPr>
          <w:lang w:val="en-US"/>
        </w:rPr>
        <w:t>harmonised</w:t>
      </w:r>
      <w:proofErr w:type="spellEnd"/>
      <w:r w:rsidRPr="0024535D">
        <w:rPr>
          <w:lang w:val="en-US"/>
        </w:rPr>
        <w:t xml:space="preserve"> standard or CS for clinical evaluation of that kind of device.</w:t>
      </w:r>
    </w:p>
    <w:p w14:paraId="6F85D3A1" w14:textId="4DD6777D" w:rsidR="00E7303F" w:rsidRPr="0024535D" w:rsidRDefault="00E7303F" w:rsidP="0024535D">
      <w:pPr>
        <w:rPr>
          <w:lang w:val="en-US"/>
        </w:rPr>
      </w:pPr>
      <w:r w:rsidRPr="0024535D">
        <w:rPr>
          <w:rStyle w:val="Accentuationintense"/>
        </w:rPr>
        <w:t>Concerns</w:t>
      </w:r>
      <w:r w:rsidRPr="0024535D">
        <w:rPr>
          <w:rStyle w:val="Accentuationintense"/>
        </w:rPr>
        <w:br/>
      </w:r>
      <w:r w:rsidRPr="0024535D">
        <w:rPr>
          <w:lang w:val="en-US"/>
        </w:rPr>
        <w:t>There are no specific comments on (a) and (b). Item (c) is of concern.</w:t>
      </w:r>
    </w:p>
    <w:p w14:paraId="7C14A9A4" w14:textId="77777777" w:rsidR="00E7303F" w:rsidRPr="0024535D" w:rsidRDefault="00E7303F" w:rsidP="00700B94">
      <w:pPr>
        <w:pStyle w:val="Paragraphedeliste"/>
        <w:numPr>
          <w:ilvl w:val="0"/>
          <w:numId w:val="39"/>
        </w:numPr>
        <w:rPr>
          <w:lang w:val="en-US"/>
        </w:rPr>
      </w:pPr>
      <w:r w:rsidRPr="0024535D">
        <w:rPr>
          <w:lang w:val="en-US"/>
        </w:rPr>
        <w:t xml:space="preserve">It needs to be outlined that the process of </w:t>
      </w:r>
      <w:proofErr w:type="spellStart"/>
      <w:r w:rsidRPr="0024535D">
        <w:rPr>
          <w:lang w:val="en-US"/>
        </w:rPr>
        <w:t>harmonising</w:t>
      </w:r>
      <w:proofErr w:type="spellEnd"/>
      <w:r w:rsidRPr="0024535D">
        <w:rPr>
          <w:lang w:val="en-US"/>
        </w:rPr>
        <w:t xml:space="preserve"> standards and the publication of CS was not effective during the initial phase of the MDR. We believe that the Commission should focus on resolving this weakness before establishing new exceptions based on </w:t>
      </w:r>
      <w:proofErr w:type="spellStart"/>
      <w:r w:rsidRPr="0024535D">
        <w:rPr>
          <w:lang w:val="en-US"/>
        </w:rPr>
        <w:t>harmonised</w:t>
      </w:r>
      <w:proofErr w:type="spellEnd"/>
      <w:r w:rsidRPr="0024535D">
        <w:rPr>
          <w:lang w:val="en-US"/>
        </w:rPr>
        <w:t xml:space="preserve"> standards and CS.</w:t>
      </w:r>
    </w:p>
    <w:p w14:paraId="3FBCF6FC" w14:textId="77777777" w:rsidR="00E7303F" w:rsidRPr="0024535D" w:rsidRDefault="00E7303F" w:rsidP="00700B94">
      <w:pPr>
        <w:pStyle w:val="Paragraphedeliste"/>
        <w:numPr>
          <w:ilvl w:val="0"/>
          <w:numId w:val="39"/>
        </w:numPr>
        <w:rPr>
          <w:lang w:val="en-US"/>
        </w:rPr>
      </w:pPr>
      <w:r w:rsidRPr="0024535D">
        <w:rPr>
          <w:lang w:val="en-US"/>
        </w:rPr>
        <w:t xml:space="preserve">Furthermore, even if a </w:t>
      </w:r>
      <w:proofErr w:type="spellStart"/>
      <w:r w:rsidRPr="0024535D">
        <w:rPr>
          <w:lang w:val="en-US"/>
        </w:rPr>
        <w:t>harmonised</w:t>
      </w:r>
      <w:proofErr w:type="spellEnd"/>
      <w:r w:rsidRPr="0024535D">
        <w:rPr>
          <w:lang w:val="en-US"/>
        </w:rPr>
        <w:t xml:space="preserve"> standard includes clauses related to clinical aspects, this does not mean that it covers all clinical aspects and all clinical claims.</w:t>
      </w:r>
    </w:p>
    <w:p w14:paraId="4F5BE582" w14:textId="430A2A52" w:rsidR="00E7303F" w:rsidRPr="0024535D" w:rsidRDefault="00E7303F" w:rsidP="00700B94">
      <w:pPr>
        <w:pStyle w:val="Paragraphedeliste"/>
        <w:numPr>
          <w:ilvl w:val="0"/>
          <w:numId w:val="39"/>
        </w:numPr>
        <w:rPr>
          <w:lang w:val="en-US"/>
        </w:rPr>
      </w:pPr>
      <w:r w:rsidRPr="0024535D">
        <w:rPr>
          <w:lang w:val="en-US"/>
        </w:rPr>
        <w:t>Product standards usually address standard medical devices, but not the specific claims of the manufacturer for their specific device</w:t>
      </w:r>
      <w:r w:rsidR="003A6274">
        <w:rPr>
          <w:lang w:val="en-US"/>
        </w:rPr>
        <w:t>.</w:t>
      </w:r>
    </w:p>
    <w:p w14:paraId="43313C88" w14:textId="77777777" w:rsidR="00E7303F" w:rsidRPr="0024535D" w:rsidRDefault="00E7303F" w:rsidP="00E7303F">
      <w:pPr>
        <w:spacing w:after="0" w:line="276" w:lineRule="auto"/>
        <w:rPr>
          <w:rStyle w:val="Accentuationintense"/>
        </w:rPr>
      </w:pPr>
      <w:r w:rsidRPr="0024535D">
        <w:rPr>
          <w:rStyle w:val="Accentuationintense"/>
        </w:rPr>
        <w:t>Related to the CECP and the experience to date:</w:t>
      </w:r>
    </w:p>
    <w:p w14:paraId="52EC0153" w14:textId="77777777" w:rsidR="00E7303F" w:rsidRPr="0024535D" w:rsidRDefault="00E7303F" w:rsidP="0024535D">
      <w:pPr>
        <w:rPr>
          <w:lang w:val="en-US"/>
        </w:rPr>
      </w:pPr>
      <w:r w:rsidRPr="0024535D">
        <w:rPr>
          <w:lang w:val="en-US"/>
        </w:rPr>
        <w:t>Expert panel opinions are published after certificates are issued, but the information might not be current anymore. In cases where the views and recommendations are not followed, the substantiated justification of the notified body is not published together with the expert panel opinion.</w:t>
      </w:r>
    </w:p>
    <w:p w14:paraId="42C5FBA7" w14:textId="77777777" w:rsidR="00E7303F" w:rsidRPr="0024535D" w:rsidRDefault="00E7303F" w:rsidP="0024535D">
      <w:pPr>
        <w:rPr>
          <w:lang w:val="en-US"/>
        </w:rPr>
      </w:pPr>
      <w:r w:rsidRPr="0024535D">
        <w:rPr>
          <w:lang w:val="en-US"/>
        </w:rPr>
        <w:t>A platform to share the substantiated justification with the authority responsible for notified bodies of the Member State in which it is established, with the expert panel that issued the opinion, and with the Commission is not available and is not mentioned in Article 54(4).</w:t>
      </w:r>
    </w:p>
    <w:p w14:paraId="4DC612FA" w14:textId="77777777" w:rsidR="00E7303F" w:rsidRPr="0024535D" w:rsidRDefault="00E7303F" w:rsidP="0024535D">
      <w:pPr>
        <w:rPr>
          <w:lang w:val="en-US"/>
        </w:rPr>
      </w:pPr>
      <w:r w:rsidRPr="0024535D">
        <w:rPr>
          <w:lang w:val="en-US"/>
        </w:rPr>
        <w:t>Patients should have all data related to the evaluation of a device available. The justification of a notified body for not following recommendations of the expert panel should be publicly available on the same platform as the expert panel's opinions.</w:t>
      </w:r>
    </w:p>
    <w:p w14:paraId="42D2D7D0" w14:textId="77777777" w:rsidR="00E7303F" w:rsidRPr="0024535D" w:rsidRDefault="00E7303F" w:rsidP="0024535D">
      <w:pPr>
        <w:rPr>
          <w:lang w:val="en-US"/>
        </w:rPr>
      </w:pPr>
      <w:r w:rsidRPr="0024535D">
        <w:rPr>
          <w:lang w:val="en-US"/>
        </w:rPr>
        <w:t>Publication of the MDCG opinion only may infringe upon the reputation of notified bodies in general or even in particular.</w:t>
      </w:r>
    </w:p>
    <w:p w14:paraId="2DAE1BFB" w14:textId="473E6464" w:rsidR="00E7303F" w:rsidRPr="0024535D" w:rsidRDefault="00E7303F" w:rsidP="0024535D">
      <w:pPr>
        <w:rPr>
          <w:lang w:val="en-US"/>
        </w:rPr>
      </w:pPr>
      <w:r w:rsidRPr="0024535D">
        <w:rPr>
          <w:lang w:val="en-US"/>
        </w:rPr>
        <w:t xml:space="preserve">In Annex IX, 5.1(g), the platform is referenced: </w:t>
      </w:r>
      <w:r w:rsidR="00C72BAD">
        <w:rPr>
          <w:i/>
          <w:lang w:val="en-US"/>
        </w:rPr>
        <w:t>“</w:t>
      </w:r>
      <w:r w:rsidRPr="0024535D">
        <w:rPr>
          <w:i/>
          <w:lang w:val="en-US"/>
        </w:rPr>
        <w:t xml:space="preserve">the substantiated justification provided by the notified body shall be publicly available via </w:t>
      </w:r>
      <w:proofErr w:type="spellStart"/>
      <w:r w:rsidRPr="0024535D">
        <w:rPr>
          <w:i/>
          <w:lang w:val="en-US"/>
        </w:rPr>
        <w:t>Eudamed</w:t>
      </w:r>
      <w:proofErr w:type="spellEnd"/>
      <w:r w:rsidRPr="0024535D">
        <w:rPr>
          <w:i/>
          <w:lang w:val="en-US"/>
        </w:rPr>
        <w:t xml:space="preserve"> without any confidential information.</w:t>
      </w:r>
      <w:r w:rsidR="00C72BAD">
        <w:rPr>
          <w:i/>
          <w:lang w:val="en-US"/>
        </w:rPr>
        <w:t>”</w:t>
      </w:r>
      <w:r w:rsidRPr="0024535D">
        <w:rPr>
          <w:lang w:val="en-US"/>
        </w:rPr>
        <w:br/>
        <w:t xml:space="preserve">This </w:t>
      </w:r>
      <w:proofErr w:type="spellStart"/>
      <w:r w:rsidRPr="0024535D">
        <w:rPr>
          <w:lang w:val="en-US"/>
        </w:rPr>
        <w:t>Eudamed</w:t>
      </w:r>
      <w:proofErr w:type="spellEnd"/>
      <w:r w:rsidRPr="0024535D">
        <w:rPr>
          <w:lang w:val="en-US"/>
        </w:rPr>
        <w:t xml:space="preserve"> reference should also be added to the CECP / scrutiny Articles 54 and 55.</w:t>
      </w:r>
    </w:p>
    <w:p w14:paraId="0B7448B9" w14:textId="77777777" w:rsidR="00E7303F" w:rsidRPr="0024535D" w:rsidRDefault="00E7303F" w:rsidP="00E7303F">
      <w:pPr>
        <w:spacing w:after="0" w:line="276" w:lineRule="auto"/>
        <w:rPr>
          <w:rStyle w:val="Accentuationintense"/>
        </w:rPr>
      </w:pPr>
      <w:r w:rsidRPr="0024535D">
        <w:rPr>
          <w:rStyle w:val="Accentuationintense"/>
        </w:rPr>
        <w:t>Scrutiny (Article 55)</w:t>
      </w:r>
    </w:p>
    <w:p w14:paraId="0716A133" w14:textId="77777777" w:rsidR="00E7303F" w:rsidRPr="0024535D" w:rsidRDefault="00E7303F" w:rsidP="0024535D">
      <w:pPr>
        <w:rPr>
          <w:rFonts w:cs="Segoe UI"/>
        </w:rPr>
      </w:pPr>
      <w:r w:rsidRPr="0024535D">
        <w:rPr>
          <w:lang w:val="en-US"/>
        </w:rPr>
        <w:t>The revised mechanism for scrutiny reflects post</w:t>
      </w:r>
      <w:r w:rsidRPr="0024535D">
        <w:rPr>
          <w:lang w:val="en-US"/>
        </w:rPr>
        <w:noBreakHyphen/>
        <w:t>market surveillance based on reasonable product</w:t>
      </w:r>
      <w:r w:rsidRPr="0024535D">
        <w:rPr>
          <w:lang w:val="en-US"/>
        </w:rPr>
        <w:noBreakHyphen/>
        <w:t>specific concerns of the MDCG or the Commission, but the header indicates scrutiny of conformity assessments</w:t>
      </w:r>
      <w:r w:rsidRPr="0024535D">
        <w:rPr>
          <w:rFonts w:cs="Segoe UI"/>
        </w:rPr>
        <w:t>.</w:t>
      </w:r>
    </w:p>
    <w:p w14:paraId="0A32D9A7" w14:textId="3F40C4A2" w:rsidR="00E7303F" w:rsidRPr="0024535D" w:rsidRDefault="00E7303F" w:rsidP="0024535D">
      <w:pPr>
        <w:rPr>
          <w:lang w:val="en-US"/>
        </w:rPr>
      </w:pPr>
      <w:r w:rsidRPr="0024535D">
        <w:rPr>
          <w:lang w:val="en-US"/>
        </w:rPr>
        <w:t xml:space="preserve">As the header should fit the content of the article, </w:t>
      </w:r>
      <w:r w:rsidR="00CB668C">
        <w:rPr>
          <w:lang w:val="en-US"/>
        </w:rPr>
        <w:t>“</w:t>
      </w:r>
      <w:r w:rsidRPr="0024535D">
        <w:rPr>
          <w:lang w:val="en-US"/>
        </w:rPr>
        <w:t>conformity assessments</w:t>
      </w:r>
      <w:r w:rsidR="00CB668C">
        <w:rPr>
          <w:lang w:val="en-US"/>
        </w:rPr>
        <w:t>”</w:t>
      </w:r>
      <w:r w:rsidRPr="0024535D">
        <w:rPr>
          <w:lang w:val="en-US"/>
        </w:rPr>
        <w:t xml:space="preserve"> should be deleted, and it should read </w:t>
      </w:r>
      <w:r w:rsidR="00CB668C">
        <w:rPr>
          <w:lang w:val="en-US"/>
        </w:rPr>
        <w:t>“</w:t>
      </w:r>
      <w:r w:rsidRPr="0024535D">
        <w:rPr>
          <w:lang w:val="en-US"/>
        </w:rPr>
        <w:t>mechanism of scrutiny</w:t>
      </w:r>
      <w:r w:rsidR="00CB668C">
        <w:rPr>
          <w:lang w:val="en-US"/>
        </w:rPr>
        <w:t>”</w:t>
      </w:r>
      <w:r w:rsidRPr="0024535D">
        <w:rPr>
          <w:lang w:val="en-US"/>
        </w:rPr>
        <w:t xml:space="preserve"> or </w:t>
      </w:r>
      <w:r w:rsidR="00CB668C">
        <w:rPr>
          <w:lang w:val="en-US"/>
        </w:rPr>
        <w:t>“</w:t>
      </w:r>
      <w:r w:rsidRPr="0024535D">
        <w:rPr>
          <w:lang w:val="en-US"/>
        </w:rPr>
        <w:t>mechanism of scrutiny of devices.</w:t>
      </w:r>
      <w:r w:rsidR="00CB668C">
        <w:rPr>
          <w:lang w:val="en-US"/>
        </w:rPr>
        <w:t>”</w:t>
      </w:r>
    </w:p>
    <w:p w14:paraId="76AE8430" w14:textId="77777777" w:rsidR="00E7303F" w:rsidRPr="0024535D" w:rsidRDefault="00E7303F" w:rsidP="0024535D">
      <w:pPr>
        <w:rPr>
          <w:lang w:val="en-US"/>
        </w:rPr>
      </w:pPr>
      <w:r w:rsidRPr="0024535D">
        <w:rPr>
          <w:lang w:val="en-US"/>
        </w:rPr>
        <w:t xml:space="preserve">It is stated that notified bodies may be requested to submit to expert laboratories their clinical evaluation assessment report and any subsequent surveillance assessment reports regarding that device. The purpose of providing the clinical evaluation assessment report to the expert </w:t>
      </w:r>
      <w:r w:rsidRPr="0024535D">
        <w:rPr>
          <w:lang w:val="en-US"/>
        </w:rPr>
        <w:lastRenderedPageBreak/>
        <w:t>laboratories does not become clear, as the expert laboratories may not employ clinical experts for the particular device.</w:t>
      </w:r>
    </w:p>
    <w:p w14:paraId="04CC2CE2" w14:textId="77777777" w:rsidR="00E7303F" w:rsidRPr="0024535D" w:rsidRDefault="00E7303F" w:rsidP="0024535D">
      <w:pPr>
        <w:rPr>
          <w:lang w:val="en-US"/>
        </w:rPr>
      </w:pPr>
      <w:r w:rsidRPr="0024535D">
        <w:rPr>
          <w:lang w:val="en-US"/>
        </w:rPr>
        <w:t>Regarding device testing by expert laboratories, the following concerns apply:</w:t>
      </w:r>
    </w:p>
    <w:p w14:paraId="27E29931" w14:textId="77777777" w:rsidR="00E7303F" w:rsidRPr="0024535D" w:rsidRDefault="00E7303F" w:rsidP="00700B94">
      <w:pPr>
        <w:pStyle w:val="Paragraphedeliste"/>
        <w:numPr>
          <w:ilvl w:val="0"/>
          <w:numId w:val="40"/>
        </w:numPr>
        <w:rPr>
          <w:lang w:val="en-US"/>
        </w:rPr>
      </w:pPr>
      <w:r w:rsidRPr="0024535D">
        <w:rPr>
          <w:lang w:val="en-US"/>
        </w:rPr>
        <w:t>There is a limited number of device</w:t>
      </w:r>
      <w:r w:rsidRPr="0024535D">
        <w:rPr>
          <w:lang w:val="en-US"/>
        </w:rPr>
        <w:noBreakHyphen/>
        <w:t xml:space="preserve">specific </w:t>
      </w:r>
      <w:proofErr w:type="spellStart"/>
      <w:r w:rsidRPr="0024535D">
        <w:rPr>
          <w:lang w:val="en-US"/>
        </w:rPr>
        <w:t>harmonised</w:t>
      </w:r>
      <w:proofErr w:type="spellEnd"/>
      <w:r w:rsidRPr="0024535D">
        <w:rPr>
          <w:lang w:val="en-US"/>
        </w:rPr>
        <w:t xml:space="preserve"> standards reflecting </w:t>
      </w:r>
      <w:proofErr w:type="spellStart"/>
      <w:r w:rsidRPr="0024535D">
        <w:rPr>
          <w:lang w:val="en-US"/>
        </w:rPr>
        <w:t>standardised</w:t>
      </w:r>
      <w:proofErr w:type="spellEnd"/>
      <w:r w:rsidRPr="0024535D">
        <w:rPr>
          <w:lang w:val="en-US"/>
        </w:rPr>
        <w:t xml:space="preserve"> test methods with suitable device specifications available, or CS in general and </w:t>
      </w:r>
    </w:p>
    <w:p w14:paraId="3B1BC465" w14:textId="77777777" w:rsidR="00E7303F" w:rsidRPr="0024535D" w:rsidRDefault="00E7303F" w:rsidP="00700B94">
      <w:pPr>
        <w:pStyle w:val="Paragraphedeliste"/>
        <w:numPr>
          <w:ilvl w:val="0"/>
          <w:numId w:val="40"/>
        </w:numPr>
        <w:rPr>
          <w:lang w:val="en-US"/>
        </w:rPr>
      </w:pPr>
      <w:r w:rsidRPr="0024535D">
        <w:rPr>
          <w:lang w:val="en-US"/>
        </w:rPr>
        <w:t>in particular, based on which test procedures or test results may an expert laboratory decide whether or not device specifications are met? Furthermore, expert laboratories related to medical device testing are not yet available.</w:t>
      </w:r>
    </w:p>
    <w:p w14:paraId="334A1721" w14:textId="77777777" w:rsidR="00E7303F" w:rsidRPr="0024535D" w:rsidRDefault="00E7303F" w:rsidP="0024535D">
      <w:pPr>
        <w:rPr>
          <w:lang w:val="en-US"/>
        </w:rPr>
      </w:pPr>
      <w:r w:rsidRPr="0024535D">
        <w:rPr>
          <w:lang w:val="en-US"/>
        </w:rPr>
        <w:t xml:space="preserve">Referring to Article 55(3): </w:t>
      </w:r>
    </w:p>
    <w:p w14:paraId="3C662EEC" w14:textId="77777777" w:rsidR="00E7303F" w:rsidRPr="0024535D" w:rsidRDefault="00E7303F" w:rsidP="00700B94">
      <w:pPr>
        <w:pStyle w:val="Paragraphedeliste"/>
        <w:numPr>
          <w:ilvl w:val="0"/>
          <w:numId w:val="41"/>
        </w:numPr>
        <w:rPr>
          <w:lang w:val="en-US"/>
        </w:rPr>
      </w:pPr>
      <w:r w:rsidRPr="0024535D">
        <w:rPr>
          <w:lang w:val="en-US"/>
        </w:rPr>
        <w:t xml:space="preserve">No timelines are identified for expert panel advice or expert laboratory testing which, as scrutiny is due to reasonable concerns, is problematic. </w:t>
      </w:r>
    </w:p>
    <w:p w14:paraId="405400F9" w14:textId="77777777" w:rsidR="00E7303F" w:rsidRDefault="00E7303F" w:rsidP="00700B94">
      <w:pPr>
        <w:pStyle w:val="Paragraphedeliste"/>
        <w:numPr>
          <w:ilvl w:val="0"/>
          <w:numId w:val="41"/>
        </w:numPr>
        <w:rPr>
          <w:lang w:val="en-US"/>
        </w:rPr>
      </w:pPr>
      <w:r w:rsidRPr="0024535D">
        <w:rPr>
          <w:lang w:val="en-US"/>
        </w:rPr>
        <w:t>The article indicates that the notified body shall give utmost consideration to the advice provided by the expert panel or the expert laboratory and, where needed, take any appropriate measures.</w:t>
      </w:r>
      <w:r w:rsidRPr="0024535D">
        <w:rPr>
          <w:lang w:val="en-US"/>
        </w:rPr>
        <w:br/>
        <w:t>Due to this, delays in appropriate measures may occur, as manufacturers might reject actions of the notified body with the argument that the device is under scrutiny by expert panels or laboratories in parallel.</w:t>
      </w:r>
    </w:p>
    <w:p w14:paraId="7DB63CE3" w14:textId="77777777" w:rsidR="00F61065" w:rsidRPr="0024535D" w:rsidRDefault="00F61065" w:rsidP="00F61065">
      <w:pPr>
        <w:pStyle w:val="Paragraphedeliste"/>
        <w:rPr>
          <w:lang w:val="en-US"/>
        </w:rPr>
      </w:pPr>
    </w:p>
    <w:p w14:paraId="276F73A4" w14:textId="77777777" w:rsidR="00E7303F" w:rsidRPr="004A7E5E" w:rsidRDefault="00E7303F" w:rsidP="002542E6">
      <w:pPr>
        <w:pStyle w:val="Titre2"/>
        <w:rPr>
          <w:sz w:val="28"/>
          <w:szCs w:val="28"/>
        </w:rPr>
      </w:pPr>
      <w:bookmarkStart w:id="278" w:name="_Toc225930697"/>
      <w:bookmarkStart w:id="279" w:name="_Toc225931155"/>
      <w:bookmarkStart w:id="280" w:name="_Toc225931612"/>
      <w:bookmarkStart w:id="281" w:name="_Toc225932052"/>
      <w:bookmarkStart w:id="282" w:name="_Toc225932492"/>
      <w:bookmarkStart w:id="283" w:name="_Toc225932932"/>
      <w:bookmarkStart w:id="284" w:name="_Toc225933372"/>
      <w:bookmarkStart w:id="285" w:name="_Toc225948679"/>
      <w:bookmarkStart w:id="286" w:name="_Toc225949308"/>
      <w:bookmarkStart w:id="287" w:name="_Toc225963353"/>
      <w:bookmarkStart w:id="288" w:name="_Toc224888465"/>
      <w:bookmarkStart w:id="289" w:name="_Toc226533697"/>
      <w:bookmarkEnd w:id="278"/>
      <w:bookmarkEnd w:id="279"/>
      <w:bookmarkEnd w:id="280"/>
      <w:bookmarkEnd w:id="281"/>
      <w:bookmarkEnd w:id="282"/>
      <w:bookmarkEnd w:id="283"/>
      <w:bookmarkEnd w:id="284"/>
      <w:bookmarkEnd w:id="285"/>
      <w:bookmarkEnd w:id="286"/>
      <w:bookmarkEnd w:id="287"/>
      <w:r w:rsidRPr="004A7E5E">
        <w:t>Expert panel (Article 61(2))</w:t>
      </w:r>
      <w:bookmarkEnd w:id="288"/>
      <w:bookmarkEnd w:id="289"/>
    </w:p>
    <w:p w14:paraId="79B429A0" w14:textId="77777777" w:rsidR="00E7303F" w:rsidRPr="004A7E5E" w:rsidRDefault="00E7303F" w:rsidP="0024535D">
      <w:pPr>
        <w:rPr>
          <w:lang w:val="en-US"/>
        </w:rPr>
      </w:pPr>
      <w:r w:rsidRPr="004A7E5E">
        <w:rPr>
          <w:lang w:val="en-US"/>
        </w:rPr>
        <w:t>The article refers to class IIb and class III devices only, but a voluntary process should also be established for lower</w:t>
      </w:r>
      <w:r w:rsidRPr="004A7E5E">
        <w:rPr>
          <w:lang w:val="en-US"/>
        </w:rPr>
        <w:noBreakHyphen/>
        <w:t>risk class devices in cases where novel technologies give rise to residual clinical considerations. Supporting innovation in these cases is essential for patient benefit and for fostering the development of the European market.</w:t>
      </w:r>
    </w:p>
    <w:p w14:paraId="0FADD12B" w14:textId="77777777" w:rsidR="00E7303F" w:rsidRPr="004A7E5E" w:rsidRDefault="00E7303F" w:rsidP="0024535D">
      <w:pPr>
        <w:rPr>
          <w:lang w:val="en-US"/>
        </w:rPr>
      </w:pPr>
      <w:r w:rsidRPr="004A7E5E">
        <w:rPr>
          <w:lang w:val="en-US"/>
        </w:rPr>
        <w:t>Such consultations are known as pre</w:t>
      </w:r>
      <w:r w:rsidRPr="004A7E5E">
        <w:rPr>
          <w:lang w:val="en-US"/>
        </w:rPr>
        <w:noBreakHyphen/>
        <w:t>submission meetings between the manufacturer, the notified body, and the competent authority for drug/device combination consultation procedures (pre</w:t>
      </w:r>
      <w:r w:rsidRPr="004A7E5E">
        <w:rPr>
          <w:lang w:val="en-US"/>
        </w:rPr>
        <w:noBreakHyphen/>
        <w:t>submission in the sense of pre</w:t>
      </w:r>
      <w:r w:rsidRPr="004A7E5E">
        <w:rPr>
          <w:lang w:val="en-US"/>
        </w:rPr>
        <w:noBreakHyphen/>
        <w:t>Technical Documentation submission).</w:t>
      </w:r>
    </w:p>
    <w:p w14:paraId="1A3E23C8" w14:textId="77777777" w:rsidR="00E7303F" w:rsidRPr="004A7E5E" w:rsidRDefault="00E7303F" w:rsidP="0024535D">
      <w:pPr>
        <w:rPr>
          <w:lang w:val="en-US"/>
        </w:rPr>
      </w:pPr>
      <w:r w:rsidRPr="004A7E5E">
        <w:rPr>
          <w:lang w:val="en-US"/>
        </w:rPr>
        <w:t>A similar process could be beneficial for Article 61(2) and the subsequent CECP, where applicable.</w:t>
      </w:r>
    </w:p>
    <w:p w14:paraId="5CEF7C3B" w14:textId="77777777" w:rsidR="00E7303F" w:rsidRPr="004A7E5E" w:rsidRDefault="00E7303F" w:rsidP="0024535D">
      <w:pPr>
        <w:rPr>
          <w:lang w:val="en-US"/>
        </w:rPr>
      </w:pPr>
      <w:r w:rsidRPr="004A7E5E">
        <w:rPr>
          <w:lang w:val="en-US"/>
        </w:rPr>
        <w:t>Upon request of the manufacturer, the notified body should attend meetings with the expert panel. Such consultations or meetings should be held prior to submission of the technical documentation to the notified body.</w:t>
      </w:r>
    </w:p>
    <w:p w14:paraId="6A7DD5B2" w14:textId="77777777" w:rsidR="00E7303F" w:rsidRPr="004A7E5E" w:rsidRDefault="00E7303F" w:rsidP="0024535D">
      <w:pPr>
        <w:rPr>
          <w:lang w:val="en-US"/>
        </w:rPr>
      </w:pPr>
      <w:r w:rsidRPr="004A7E5E">
        <w:rPr>
          <w:lang w:val="en-US"/>
        </w:rPr>
        <w:t>Such pre</w:t>
      </w:r>
      <w:r w:rsidRPr="004A7E5E">
        <w:rPr>
          <w:lang w:val="en-US"/>
        </w:rPr>
        <w:noBreakHyphen/>
        <w:t>submission meetings may help to duly address the expectations of the expert panels in cases where CECP is required. Involving expert panels for the first time at the latest stage of the conformity assessment procedure may lead to unexpected requests, which may cause delays in device market access. Such delays could potentially be avoided by involving the expert panel at an earlier stage.</w:t>
      </w:r>
    </w:p>
    <w:p w14:paraId="787C0DF0" w14:textId="77777777" w:rsidR="00E7303F" w:rsidRPr="004A7E5E" w:rsidRDefault="00E7303F" w:rsidP="0024535D">
      <w:pPr>
        <w:rPr>
          <w:lang w:val="en-US"/>
        </w:rPr>
      </w:pPr>
      <w:r w:rsidRPr="004A7E5E">
        <w:rPr>
          <w:lang w:val="en-US"/>
        </w:rPr>
        <w:t>The article states that the notified body shall give due consideration to the advice of the expert panel and, where they do not follow the advice, they shall provide duly justified reasons. Therefore, the notified body should also be able to attend such meetings of manufacturers with the expert panel.</w:t>
      </w:r>
    </w:p>
    <w:p w14:paraId="4A2FAF31" w14:textId="77777777" w:rsidR="00E7303F" w:rsidRDefault="00E7303F" w:rsidP="0024535D">
      <w:pPr>
        <w:rPr>
          <w:lang w:val="en-US"/>
        </w:rPr>
      </w:pPr>
      <w:r w:rsidRPr="004A7E5E">
        <w:rPr>
          <w:lang w:val="en-US"/>
        </w:rPr>
        <w:lastRenderedPageBreak/>
        <w:t>A voluntary process should also be established for lower</w:t>
      </w:r>
      <w:r w:rsidRPr="004A7E5E">
        <w:rPr>
          <w:lang w:val="en-US"/>
        </w:rPr>
        <w:noBreakHyphen/>
        <w:t>class devices in cases where novel technologies give rise to residual clinical considerations. Supporting innovation in these cases is essential for patient benefit and for fostering the development of the European market.</w:t>
      </w:r>
    </w:p>
    <w:p w14:paraId="638801C9" w14:textId="77777777" w:rsidR="00F61065" w:rsidRPr="004A7E5E" w:rsidRDefault="00F61065" w:rsidP="0024535D">
      <w:pPr>
        <w:rPr>
          <w:lang w:val="en-US"/>
        </w:rPr>
      </w:pPr>
    </w:p>
    <w:p w14:paraId="74B82102" w14:textId="77777777" w:rsidR="00E7303F" w:rsidRPr="004A7E5E" w:rsidRDefault="00E7303F" w:rsidP="002542E6">
      <w:pPr>
        <w:pStyle w:val="Titre2"/>
        <w:rPr>
          <w:sz w:val="28"/>
          <w:szCs w:val="28"/>
        </w:rPr>
      </w:pPr>
      <w:bookmarkStart w:id="290" w:name="_Toc225930699"/>
      <w:bookmarkStart w:id="291" w:name="_Toc225931157"/>
      <w:bookmarkStart w:id="292" w:name="_Toc225931614"/>
      <w:bookmarkStart w:id="293" w:name="_Toc225932054"/>
      <w:bookmarkStart w:id="294" w:name="_Toc225932494"/>
      <w:bookmarkStart w:id="295" w:name="_Toc225932934"/>
      <w:bookmarkStart w:id="296" w:name="_Toc225933374"/>
      <w:bookmarkStart w:id="297" w:name="_Toc225948681"/>
      <w:bookmarkStart w:id="298" w:name="_Toc225949310"/>
      <w:bookmarkStart w:id="299" w:name="_Toc225963355"/>
      <w:bookmarkStart w:id="300" w:name="_Toc224888466"/>
      <w:bookmarkStart w:id="301" w:name="_Toc226533698"/>
      <w:bookmarkEnd w:id="290"/>
      <w:bookmarkEnd w:id="291"/>
      <w:bookmarkEnd w:id="292"/>
      <w:bookmarkEnd w:id="293"/>
      <w:bookmarkEnd w:id="294"/>
      <w:bookmarkEnd w:id="295"/>
      <w:bookmarkEnd w:id="296"/>
      <w:bookmarkEnd w:id="297"/>
      <w:bookmarkEnd w:id="298"/>
      <w:bookmarkEnd w:id="299"/>
      <w:r w:rsidRPr="004A7E5E">
        <w:t>PMCF Evaluation Report &amp; Updates (Article 61 (11) and Annex XIV Part B)</w:t>
      </w:r>
      <w:bookmarkEnd w:id="300"/>
      <w:bookmarkEnd w:id="301"/>
      <w:r w:rsidRPr="004A7E5E">
        <w:t xml:space="preserve"> </w:t>
      </w:r>
    </w:p>
    <w:p w14:paraId="56D73433" w14:textId="77777777" w:rsidR="00E7303F" w:rsidRDefault="00E7303F">
      <w:pPr>
        <w:pStyle w:val="Sansinterligne"/>
        <w:rPr>
          <w:lang w:val="en-US"/>
        </w:rPr>
      </w:pPr>
      <w:r w:rsidRPr="004A7E5E">
        <w:rPr>
          <w:lang w:val="en-US"/>
        </w:rPr>
        <w:t>The removal of the PMCF evaluation report, together with a risk</w:t>
      </w:r>
      <w:r w:rsidRPr="004A7E5E">
        <w:rPr>
          <w:lang w:val="en-US"/>
        </w:rPr>
        <w:noBreakHyphen/>
        <w:t>based approach to updating clinical evaluations, presents a valuable opportunity to reduce administrative burden while ensuring that evidence generation reflects the actual clinical risk of the device rather than regulatory formality. However, clearer guidance or an alternative framework is needed to prevent manufacturers from extending update timelines beyond what is acceptable and to support notified bodies in holding manufacturers accountable.</w:t>
      </w:r>
    </w:p>
    <w:p w14:paraId="64A61BD2" w14:textId="77777777" w:rsidR="00C91B59" w:rsidRPr="004A7E5E" w:rsidRDefault="00C91B59" w:rsidP="0024535D">
      <w:pPr>
        <w:pStyle w:val="Sansinterligne"/>
        <w:rPr>
          <w:lang w:val="en-US"/>
        </w:rPr>
      </w:pPr>
    </w:p>
    <w:p w14:paraId="42169CBB" w14:textId="4F3B170A" w:rsidR="00700B94" w:rsidRDefault="00E7303F" w:rsidP="00700B94">
      <w:pPr>
        <w:pStyle w:val="Titre2"/>
      </w:pPr>
      <w:bookmarkStart w:id="302" w:name="_Toc225930701"/>
      <w:bookmarkStart w:id="303" w:name="_Toc225931159"/>
      <w:bookmarkStart w:id="304" w:name="_Toc225931616"/>
      <w:bookmarkStart w:id="305" w:name="_Toc225932056"/>
      <w:bookmarkStart w:id="306" w:name="_Toc225932496"/>
      <w:bookmarkStart w:id="307" w:name="_Toc225932936"/>
      <w:bookmarkStart w:id="308" w:name="_Toc225933376"/>
      <w:bookmarkStart w:id="309" w:name="_Toc225948683"/>
      <w:bookmarkStart w:id="310" w:name="_Toc225949312"/>
      <w:bookmarkStart w:id="311" w:name="_Toc225963357"/>
      <w:bookmarkStart w:id="312" w:name="_Toc225930702"/>
      <w:bookmarkStart w:id="313" w:name="_Toc225931160"/>
      <w:bookmarkStart w:id="314" w:name="_Toc225931617"/>
      <w:bookmarkStart w:id="315" w:name="_Toc225932057"/>
      <w:bookmarkStart w:id="316" w:name="_Toc225932497"/>
      <w:bookmarkStart w:id="317" w:name="_Toc225932937"/>
      <w:bookmarkStart w:id="318" w:name="_Toc225933377"/>
      <w:bookmarkStart w:id="319" w:name="_Toc225948684"/>
      <w:bookmarkStart w:id="320" w:name="_Toc225949313"/>
      <w:bookmarkStart w:id="321" w:name="_Toc225963358"/>
      <w:bookmarkStart w:id="322" w:name="_Toc225930703"/>
      <w:bookmarkStart w:id="323" w:name="_Toc225931161"/>
      <w:bookmarkStart w:id="324" w:name="_Toc225931618"/>
      <w:bookmarkStart w:id="325" w:name="_Toc225932058"/>
      <w:bookmarkStart w:id="326" w:name="_Toc225932498"/>
      <w:bookmarkStart w:id="327" w:name="_Toc225932938"/>
      <w:bookmarkStart w:id="328" w:name="_Toc225933378"/>
      <w:bookmarkStart w:id="329" w:name="_Toc225948685"/>
      <w:bookmarkStart w:id="330" w:name="_Toc225949314"/>
      <w:bookmarkStart w:id="331" w:name="_Toc225963359"/>
      <w:bookmarkStart w:id="332" w:name="_Toc224888467"/>
      <w:bookmarkStart w:id="333" w:name="_Toc226533699"/>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r w:rsidRPr="004A7E5E">
        <w:t>Well Established Technologies (Article 2 &amp; Article 61 (6b), 61 (8)</w:t>
      </w:r>
      <w:bookmarkEnd w:id="332"/>
      <w:bookmarkEnd w:id="333"/>
    </w:p>
    <w:p w14:paraId="7E754D9A" w14:textId="255CB106" w:rsidR="00E7303F" w:rsidRPr="004A7E5E" w:rsidRDefault="00E7303F" w:rsidP="0024535D">
      <w:r w:rsidRPr="004A7E5E">
        <w:t xml:space="preserve">The regulation made a list (screws, plates etc.) of simple implantable devices that are exempt from some of the requirements for most permanently implanted devices. These are named well-established technology </w:t>
      </w:r>
      <w:r w:rsidR="003E5339">
        <w:t xml:space="preserve">(WET) </w:t>
      </w:r>
      <w:r w:rsidRPr="004A7E5E">
        <w:t xml:space="preserve">devices. </w:t>
      </w:r>
    </w:p>
    <w:p w14:paraId="752F04AE" w14:textId="77777777" w:rsidR="00E7303F" w:rsidRDefault="00E7303F" w:rsidP="00CB668C">
      <w:r w:rsidRPr="004A7E5E">
        <w:t>MDCG 2020-6 interpreted the text to mean other similar devices could also use these exemptions if they were similar enough though not listed in the regulation. That guidance also significantly reduced the clinical data requirements that apply to these devices by introducing the interpretation that clinical data from non-equivalent but similar devices can be used as if it were clinical data on the device for these well-established technology devices. This is Level 6 data. The proposal is to remove the list of well-established technology devices from the regulation and replace it with the general definition from MDCG 2020-6 with some changes so any device meeting the definition can use the exemptions. It also introduces several new explicit exemptions. It does not propose to alter the interpretation that these devices can rely on clinical data of similar devices in the MDCG 2020-6 guidance.</w:t>
      </w:r>
    </w:p>
    <w:p w14:paraId="0065F133" w14:textId="7EF8E0B3" w:rsidR="008C61D3" w:rsidRDefault="00054109" w:rsidP="000153A5">
      <w:pPr>
        <w:pStyle w:val="Titre3"/>
      </w:pPr>
      <w:bookmarkStart w:id="334" w:name="_Toc226533700"/>
      <w:r>
        <w:t>Concerns</w:t>
      </w:r>
      <w:bookmarkEnd w:id="334"/>
      <w:r w:rsidR="00DE62D8">
        <w:t xml:space="preserve"> </w:t>
      </w:r>
    </w:p>
    <w:p w14:paraId="27D36B3E" w14:textId="1BA01154" w:rsidR="00E7303F" w:rsidRPr="0024535D" w:rsidRDefault="00E7303F" w:rsidP="00E7303F">
      <w:pPr>
        <w:spacing w:after="60" w:line="276" w:lineRule="auto"/>
        <w:rPr>
          <w:rStyle w:val="Accentuationintense"/>
        </w:rPr>
      </w:pPr>
    </w:p>
    <w:p w14:paraId="68907A14" w14:textId="44BAEC53" w:rsidR="00E7303F" w:rsidRPr="004A7E5E" w:rsidRDefault="00E7303F" w:rsidP="0024535D">
      <w:r w:rsidRPr="004A7E5E">
        <w:t>The definition of well-established technology devices proposed to be included in the regulation is largely a copy of the definition in MDCG 2020-6, so we have several years’ experience of implementing this definition. This is the source of concerns. An example is a smart phone app for processing and displaying diagnostic ultrasound images that had been on the market in USA for 18 months claimed to be well-established, because 18 months was a long time and the application was only displaying diagnostic images. The definition is excessively open to interpretation, and this results in lack of harmonisation, a decrease in predictability of the outcome of notified body assessment of these claims and delay in market access for some of these devices when the claim is not agreed.</w:t>
      </w:r>
    </w:p>
    <w:p w14:paraId="18D73F71" w14:textId="788E1F07" w:rsidR="00E7303F" w:rsidRPr="004A7E5E" w:rsidRDefault="00E7303F" w:rsidP="0024535D">
      <w:pPr>
        <w:rPr>
          <w:rFonts w:eastAsia="Calibri"/>
        </w:rPr>
      </w:pPr>
      <w:r w:rsidRPr="004A7E5E">
        <w:t xml:space="preserve">Further the combination of both a broad definition with the uncertainly broad interpretation of MDCG on the clinical data requirements creates a double risk that both a large number of devices might use this route and that they will rely on very weak clinical data, in a disproportionate way that re-introduces patient safety risk that has been reduced by the MDR. </w:t>
      </w:r>
      <w:r w:rsidRPr="004A7E5E">
        <w:rPr>
          <w:rFonts w:eastAsia="Calibri"/>
        </w:rPr>
        <w:t xml:space="preserve">There will be temptation for a </w:t>
      </w:r>
      <w:r w:rsidR="002F7A1F">
        <w:rPr>
          <w:rFonts w:eastAsia="Calibri"/>
        </w:rPr>
        <w:t>“</w:t>
      </w:r>
      <w:r w:rsidRPr="004A7E5E">
        <w:rPr>
          <w:rFonts w:eastAsia="Calibri"/>
        </w:rPr>
        <w:t>race to the bottom</w:t>
      </w:r>
      <w:r w:rsidR="002F7A1F">
        <w:rPr>
          <w:rFonts w:eastAsia="Calibri"/>
        </w:rPr>
        <w:t xml:space="preserve">” </w:t>
      </w:r>
      <w:r w:rsidRPr="004A7E5E">
        <w:rPr>
          <w:rFonts w:eastAsia="Calibri"/>
        </w:rPr>
        <w:t>with notified bodies being forced to underbid one another when deciding on accepting WET claims potentially undermining independence, impartiality and integrity of the notified bodies as well as leading to high-risk devices not undergoing proper scrutiny possibly compromising patient safety.</w:t>
      </w:r>
    </w:p>
    <w:p w14:paraId="48180AD5" w14:textId="7F9BFBD1" w:rsidR="00E7303F" w:rsidRPr="004A7E5E" w:rsidRDefault="00E7303F" w:rsidP="0024535D">
      <w:r w:rsidRPr="004A7E5E">
        <w:rPr>
          <w:rFonts w:eastAsia="Calibri"/>
        </w:rPr>
        <w:lastRenderedPageBreak/>
        <w:t>The proposal includes that high</w:t>
      </w:r>
      <w:r w:rsidRPr="004A7E5E">
        <w:rPr>
          <w:rFonts w:eastAsia="Calibri" w:cs="Cambria Math"/>
        </w:rPr>
        <w:noBreakHyphen/>
      </w:r>
      <w:r w:rsidRPr="004A7E5E">
        <w:rPr>
          <w:rFonts w:eastAsia="Calibri"/>
        </w:rPr>
        <w:t>risk devices meeting the definition of well</w:t>
      </w:r>
      <w:r w:rsidRPr="004A7E5E">
        <w:rPr>
          <w:rFonts w:eastAsia="Calibri" w:cs="Cambria Math"/>
        </w:rPr>
        <w:noBreakHyphen/>
      </w:r>
      <w:r w:rsidRPr="004A7E5E">
        <w:rPr>
          <w:rFonts w:eastAsia="Calibri"/>
        </w:rPr>
        <w:t>established technologies will be subject to the conformity assessment procedure according to Annex IX, Chapters I and III only. As a consequence, high</w:t>
      </w:r>
      <w:r w:rsidRPr="004A7E5E">
        <w:rPr>
          <w:rFonts w:eastAsia="Calibri" w:cs="Cambria Math"/>
        </w:rPr>
        <w:noBreakHyphen/>
      </w:r>
      <w:r w:rsidRPr="004A7E5E">
        <w:rPr>
          <w:rFonts w:eastAsia="Calibri"/>
        </w:rPr>
        <w:t>risk devices will be placed on the Union market without scrutiny of their technical documentation by the notified bodies. The manufacturers of these devices would no longer be required to submit notifications of design changes. The combination of these two factors reduces the level of oversight on high</w:t>
      </w:r>
      <w:r w:rsidRPr="004A7E5E">
        <w:rPr>
          <w:rFonts w:eastAsia="Calibri" w:cs="Cambria Math"/>
        </w:rPr>
        <w:noBreakHyphen/>
      </w:r>
      <w:r w:rsidRPr="004A7E5E">
        <w:rPr>
          <w:rFonts w:eastAsia="Calibri"/>
        </w:rPr>
        <w:t>risk well-established technology devices to a level even lower than that under the former Directive re-introducing risks to patient safety within the Union market.</w:t>
      </w:r>
    </w:p>
    <w:p w14:paraId="5D6472E8" w14:textId="45016A4E" w:rsidR="00E7303F" w:rsidRDefault="00E7303F" w:rsidP="00CB668C">
      <w:r w:rsidRPr="004A7E5E">
        <w:t xml:space="preserve">We think there is a set of permanently implantable devices, like screws, that can safely be marketed with lower clinical data requirements than most permanent implants. We agree with some of the additional exemptions, like removing the need for an implant card for every single screw. We support the move to a definition in </w:t>
      </w:r>
      <w:r w:rsidR="00DE62D8" w:rsidRPr="004A7E5E">
        <w:t>principle</w:t>
      </w:r>
      <w:r w:rsidR="00DE62D8">
        <w:t xml:space="preserve"> but</w:t>
      </w:r>
      <w:r w:rsidRPr="004A7E5E">
        <w:t xml:space="preserve"> oppose the current proposed definition because it will lead to excessively many devices on the market with inadequate clinical data that will harm patients. A definition that is clear enough that it includes the current list, but not many more types of devices would be ideal. Further clarity on the benefits that accrue to a device meeting the definition is needed.</w:t>
      </w:r>
    </w:p>
    <w:p w14:paraId="10B093F8" w14:textId="05CA8927" w:rsidR="003A7ACD" w:rsidRDefault="003A7ACD" w:rsidP="000153A5">
      <w:pPr>
        <w:pStyle w:val="Titre3"/>
      </w:pPr>
      <w:bookmarkStart w:id="335" w:name="_Toc226533701"/>
      <w:r w:rsidRPr="000153A5">
        <w:t xml:space="preserve">Summary of notified body proposals on </w:t>
      </w:r>
      <w:proofErr w:type="spellStart"/>
      <w:r w:rsidRPr="000153A5">
        <w:t>well established</w:t>
      </w:r>
      <w:proofErr w:type="spellEnd"/>
      <w:r w:rsidRPr="008C61D3">
        <w:t xml:space="preserve"> technologies</w:t>
      </w:r>
      <w:bookmarkEnd w:id="335"/>
      <w:r>
        <w:t xml:space="preserve"> </w:t>
      </w:r>
    </w:p>
    <w:p w14:paraId="61295401" w14:textId="77777777" w:rsidR="003A7ACD" w:rsidRPr="00054109" w:rsidRDefault="003A7ACD" w:rsidP="003A7ACD"/>
    <w:p w14:paraId="6B7993FF" w14:textId="2F39DC59" w:rsidR="00537908" w:rsidRPr="00537908" w:rsidRDefault="00537908" w:rsidP="00537908">
      <w:pPr>
        <w:rPr>
          <w:b/>
          <w:bCs/>
        </w:rPr>
      </w:pPr>
      <w:r w:rsidRPr="00537908">
        <w:t xml:space="preserve">Based on implementation experience, notified bodies consider that the current </w:t>
      </w:r>
      <w:r w:rsidR="008C2F43">
        <w:t xml:space="preserve">and proposed </w:t>
      </w:r>
      <w:r w:rsidRPr="00537908">
        <w:t>approach to well</w:t>
      </w:r>
      <w:r w:rsidRPr="00537908">
        <w:noBreakHyphen/>
        <w:t>established technologies requires targeted corrections to ensure legal certainty, harmonised application and patient safety.</w:t>
      </w:r>
    </w:p>
    <w:p w14:paraId="322F88DC" w14:textId="77777777" w:rsidR="00537908" w:rsidRPr="00537908" w:rsidRDefault="00537908" w:rsidP="00537908">
      <w:r w:rsidRPr="00537908">
        <w:t>Notified bodies propose, as a priority, that the framework for well</w:t>
      </w:r>
      <w:r w:rsidRPr="00537908">
        <w:noBreakHyphen/>
        <w:t xml:space="preserve">established technologies be </w:t>
      </w:r>
      <w:r w:rsidRPr="00537908">
        <w:rPr>
          <w:b/>
          <w:bCs/>
        </w:rPr>
        <w:t>clearly constrained and legally predictable</w:t>
      </w:r>
      <w:r w:rsidRPr="00537908">
        <w:t>. The definition should be sufficiently precise to allow manufacturers and notified bodies to determine, at an early stage, whether a device qualifies as well</w:t>
      </w:r>
      <w:r w:rsidRPr="00537908">
        <w:noBreakHyphen/>
        <w:t>established, thereby avoiding late</w:t>
      </w:r>
      <w:r w:rsidRPr="00537908">
        <w:noBreakHyphen/>
        <w:t>stage disagreements and inconsistent outcomes across Member States.</w:t>
      </w:r>
    </w:p>
    <w:p w14:paraId="64A23710" w14:textId="77777777" w:rsidR="00537908" w:rsidRPr="00537908" w:rsidRDefault="00537908" w:rsidP="00537908">
      <w:r w:rsidRPr="00537908">
        <w:t xml:space="preserve">Where such a precise and restrictive legal definition cannot be established, notified bodies propose that the Commission adopt a </w:t>
      </w:r>
      <w:r w:rsidRPr="00537908">
        <w:rPr>
          <w:b/>
          <w:bCs/>
        </w:rPr>
        <w:t>binding and exhaustive list of devices qualifying as well</w:t>
      </w:r>
      <w:r w:rsidRPr="00537908">
        <w:rPr>
          <w:b/>
          <w:bCs/>
        </w:rPr>
        <w:noBreakHyphen/>
        <w:t>established technologies</w:t>
      </w:r>
      <w:r w:rsidRPr="00537908">
        <w:t xml:space="preserve">, through implementing acts. </w:t>
      </w:r>
      <w:r w:rsidRPr="00537908">
        <w:rPr>
          <w:b/>
          <w:bCs/>
        </w:rPr>
        <w:t>Such lists should explicitly indicate both devices that qualify as well</w:t>
      </w:r>
      <w:r w:rsidRPr="00537908">
        <w:rPr>
          <w:b/>
          <w:bCs/>
        </w:rPr>
        <w:noBreakHyphen/>
        <w:t>established technologies and devices for which applications have been assessed and rejected</w:t>
      </w:r>
      <w:r w:rsidRPr="00537908">
        <w:t>, in order to ensure transparency and avoid repeated, duplicative submissions.</w:t>
      </w:r>
    </w:p>
    <w:p w14:paraId="3E27442B" w14:textId="77777777" w:rsidR="00537908" w:rsidRPr="00537908" w:rsidRDefault="00537908" w:rsidP="00537908">
      <w:r w:rsidRPr="00537908">
        <w:rPr>
          <w:b/>
          <w:bCs/>
        </w:rPr>
        <w:t>The well</w:t>
      </w:r>
      <w:r w:rsidRPr="00537908">
        <w:rPr>
          <w:b/>
          <w:bCs/>
        </w:rPr>
        <w:noBreakHyphen/>
        <w:t>established technology lists should be maintained and updated at regular intervals through a predictable and clearly defined procedure</w:t>
      </w:r>
      <w:r w:rsidRPr="00537908">
        <w:t>, allowing timely adaptation to technical and scientific developments while preserving legal certainty for manufacturers, notified bodies and competent authorities.</w:t>
      </w:r>
    </w:p>
    <w:p w14:paraId="036EF9EB" w14:textId="77777777" w:rsidR="00537908" w:rsidRPr="00537908" w:rsidRDefault="00537908" w:rsidP="00537908">
      <w:r w:rsidRPr="00537908">
        <w:t xml:space="preserve">Furthermore, notified bodies propose that </w:t>
      </w:r>
      <w:r w:rsidRPr="00537908">
        <w:rPr>
          <w:b/>
          <w:bCs/>
        </w:rPr>
        <w:t>well</w:t>
      </w:r>
      <w:r w:rsidRPr="00537908">
        <w:rPr>
          <w:b/>
          <w:bCs/>
        </w:rPr>
        <w:noBreakHyphen/>
        <w:t>established technology status should not, by itself, justify reduced monitoring or technical documentation assessment for higher</w:t>
      </w:r>
      <w:r w:rsidRPr="00537908">
        <w:rPr>
          <w:b/>
          <w:bCs/>
        </w:rPr>
        <w:noBreakHyphen/>
        <w:t>risk devices</w:t>
      </w:r>
      <w:r w:rsidRPr="00537908">
        <w:t>. In particular, class</w:t>
      </w:r>
      <w:r w:rsidRPr="00537908">
        <w:rPr>
          <w:rFonts w:ascii="Arial" w:hAnsi="Arial" w:cs="Arial"/>
        </w:rPr>
        <w:t> </w:t>
      </w:r>
      <w:r w:rsidRPr="00537908">
        <w:t>III devices should not benefit from reduced oversight solely on the basis of WET classification, given the potential impact on patient safety.</w:t>
      </w:r>
    </w:p>
    <w:p w14:paraId="27BDC490" w14:textId="316D4D80" w:rsidR="004F769C" w:rsidRPr="00B35541" w:rsidRDefault="00537908" w:rsidP="004F769C">
      <w:pPr>
        <w:spacing w:after="0"/>
        <w:rPr>
          <w:rFonts w:asciiTheme="minorHAnsi" w:hAnsiTheme="minorHAnsi" w:cstheme="minorHAnsi"/>
          <w:lang w:eastAsia="en-GB"/>
        </w:rPr>
      </w:pPr>
      <w:r w:rsidRPr="00537908">
        <w:t>Finally, where regulatory relief is granted for well</w:t>
      </w:r>
      <w:r w:rsidRPr="00537908">
        <w:noBreakHyphen/>
        <w:t xml:space="preserve">established technologies, the </w:t>
      </w:r>
      <w:r w:rsidRPr="00537908">
        <w:rPr>
          <w:b/>
          <w:bCs/>
        </w:rPr>
        <w:t>scope and limits of that relief should be explicitly defined in the Regulation</w:t>
      </w:r>
      <w:r w:rsidRPr="00537908">
        <w:t>, to ensure that core principles—such as demonstration of safety and performance for the specific device under assessment—remain fully preserved.</w:t>
      </w:r>
      <w:r w:rsidR="004F769C">
        <w:t xml:space="preserve"> </w:t>
      </w:r>
      <w:r w:rsidR="004F769C">
        <w:rPr>
          <w:rFonts w:asciiTheme="minorHAnsi" w:hAnsiTheme="minorHAnsi" w:cstheme="minorHAnsi"/>
          <w:i/>
          <w:lang w:eastAsia="en-GB"/>
        </w:rPr>
        <w:t>Proposed</w:t>
      </w:r>
      <w:r w:rsidR="004F769C" w:rsidRPr="00B35541">
        <w:rPr>
          <w:rFonts w:asciiTheme="minorHAnsi" w:hAnsiTheme="minorHAnsi" w:cstheme="minorHAnsi"/>
          <w:i/>
          <w:lang w:eastAsia="en-GB"/>
        </w:rPr>
        <w:t xml:space="preserve"> solution</w:t>
      </w:r>
      <w:r w:rsidR="004F769C">
        <w:rPr>
          <w:rFonts w:asciiTheme="minorHAnsi" w:hAnsiTheme="minorHAnsi" w:cstheme="minorHAnsi"/>
          <w:i/>
          <w:lang w:eastAsia="en-GB"/>
        </w:rPr>
        <w:t>s</w:t>
      </w:r>
      <w:r w:rsidR="004F769C" w:rsidRPr="00B35541">
        <w:rPr>
          <w:rFonts w:asciiTheme="minorHAnsi" w:hAnsiTheme="minorHAnsi" w:cstheme="minorHAnsi"/>
          <w:i/>
          <w:lang w:eastAsia="en-GB"/>
        </w:rPr>
        <w:t xml:space="preserve"> are reflected </w:t>
      </w:r>
      <w:r w:rsidR="004F769C" w:rsidRPr="00F26E61">
        <w:rPr>
          <w:rFonts w:asciiTheme="minorHAnsi" w:hAnsiTheme="minorHAnsi" w:cstheme="minorHAnsi"/>
          <w:i/>
          <w:lang w:eastAsia="en-GB"/>
        </w:rPr>
        <w:t>in Table entry 4,5, and 6.</w:t>
      </w:r>
    </w:p>
    <w:p w14:paraId="413CCBA7" w14:textId="362A800F" w:rsidR="00C91B59" w:rsidRDefault="00C91B59" w:rsidP="00CB668C"/>
    <w:p w14:paraId="71990CD7" w14:textId="4B554F5F" w:rsidR="00E7303F" w:rsidRPr="004A7E5E" w:rsidRDefault="00E7303F" w:rsidP="000153A5">
      <w:pPr>
        <w:pStyle w:val="Titre2"/>
        <w:rPr>
          <w:sz w:val="28"/>
          <w:szCs w:val="28"/>
        </w:rPr>
      </w:pPr>
      <w:bookmarkStart w:id="336" w:name="_Toc225930705"/>
      <w:bookmarkStart w:id="337" w:name="_Toc225931163"/>
      <w:bookmarkStart w:id="338" w:name="_Toc225931620"/>
      <w:bookmarkStart w:id="339" w:name="_Toc225932060"/>
      <w:bookmarkStart w:id="340" w:name="_Toc225932500"/>
      <w:bookmarkStart w:id="341" w:name="_Toc225932940"/>
      <w:bookmarkStart w:id="342" w:name="_Toc225933380"/>
      <w:bookmarkStart w:id="343" w:name="_Toc225948687"/>
      <w:bookmarkStart w:id="344" w:name="_Toc225949316"/>
      <w:bookmarkStart w:id="345" w:name="_Toc225963361"/>
      <w:bookmarkStart w:id="346" w:name="_Toc224888468"/>
      <w:bookmarkStart w:id="347" w:name="_Toc226533702"/>
      <w:bookmarkEnd w:id="336"/>
      <w:bookmarkEnd w:id="337"/>
      <w:bookmarkEnd w:id="338"/>
      <w:bookmarkEnd w:id="339"/>
      <w:bookmarkEnd w:id="340"/>
      <w:bookmarkEnd w:id="341"/>
      <w:bookmarkEnd w:id="342"/>
      <w:bookmarkEnd w:id="343"/>
      <w:bookmarkEnd w:id="344"/>
      <w:bookmarkEnd w:id="345"/>
      <w:r w:rsidRPr="002542E6">
        <w:t xml:space="preserve">Summary of Safety and Clinical Performance </w:t>
      </w:r>
      <w:r w:rsidR="000153A5">
        <w:br/>
      </w:r>
      <w:r w:rsidRPr="002542E6">
        <w:t>(MDR Article 32)/Summary of</w:t>
      </w:r>
      <w:r w:rsidR="002542E6">
        <w:t xml:space="preserve"> </w:t>
      </w:r>
      <w:r w:rsidRPr="004A7E5E">
        <w:t>Safety and Performance (IVDR Article 29)</w:t>
      </w:r>
      <w:bookmarkEnd w:id="346"/>
      <w:bookmarkEnd w:id="347"/>
    </w:p>
    <w:p w14:paraId="4F6FDF66" w14:textId="77777777" w:rsidR="00E7303F" w:rsidRPr="004A7E5E" w:rsidRDefault="00E7303F" w:rsidP="0024535D">
      <w:r w:rsidRPr="004A7E5E">
        <w:t xml:space="preserve">The Summary of Safety and Clinical Performance (SSCP), for MDR, and the Summary of Safety and Performance (SSP), for IVDR, was introduced by these regulations. It is the only document a manufacturer must openly publish and make available to the general public and therefore the only opportunity for the public to see into the medical device system. It is a vital tool for transparency and public accountability. It is only required for a small proportion of implantable devices. </w:t>
      </w:r>
    </w:p>
    <w:p w14:paraId="11DA38DB" w14:textId="2E8244A2" w:rsidR="00E7303F" w:rsidRPr="004A7E5E" w:rsidRDefault="00E7303F" w:rsidP="0024535D">
      <w:r w:rsidRPr="004A7E5E">
        <w:t xml:space="preserve">The proposal is to exempt </w:t>
      </w:r>
      <w:r w:rsidR="005552A8" w:rsidRPr="004A7E5E" w:rsidDel="005552A8">
        <w:t xml:space="preserve"> </w:t>
      </w:r>
      <w:r w:rsidRPr="004A7E5E">
        <w:t xml:space="preserve">some of these devices from the requirement to publish this information. The argument put forward is that it is burdensome to produce these summaries. This argument does not bear scrutiny when the proposal already includes several measures to reduce the burden, and with digitalisation this can be reduced further. </w:t>
      </w:r>
    </w:p>
    <w:p w14:paraId="7BC3D324" w14:textId="77777777" w:rsidR="00E7303F" w:rsidRPr="0024535D" w:rsidRDefault="00E7303F" w:rsidP="00E7303F">
      <w:pPr>
        <w:spacing w:after="60" w:line="360" w:lineRule="auto"/>
        <w:rPr>
          <w:rStyle w:val="Accentuationintense"/>
        </w:rPr>
      </w:pPr>
      <w:r w:rsidRPr="0024535D">
        <w:rPr>
          <w:rStyle w:val="Accentuationintense"/>
        </w:rPr>
        <w:t>Concerns</w:t>
      </w:r>
    </w:p>
    <w:p w14:paraId="22880504" w14:textId="77777777" w:rsidR="00E7303F" w:rsidRPr="004A7E5E" w:rsidRDefault="00E7303F" w:rsidP="0024535D">
      <w:r w:rsidRPr="004A7E5E">
        <w:t>The SSCP/SSP is a vital tool for transparency of the medical devices system. It is one of very few ways that the public, lay people, academic researchers, patients and professionals, can get genuine insight into the medical devices available on the market. Reducing the already small group of devices on which an SSCP/SSP must be published reduces the transparency of the system and increases risk. It sends a message that the sector does not welcome public involvement.</w:t>
      </w:r>
    </w:p>
    <w:p w14:paraId="57352485" w14:textId="329CFC5E" w:rsidR="00E7303F" w:rsidRPr="004A7E5E" w:rsidRDefault="00E7303F" w:rsidP="0024535D">
      <w:r w:rsidRPr="004A7E5E">
        <w:t>The argument put forward is that SS</w:t>
      </w:r>
      <w:r w:rsidR="009F6254">
        <w:t>(</w:t>
      </w:r>
      <w:r w:rsidR="007E09FB">
        <w:t>C</w:t>
      </w:r>
      <w:r w:rsidR="009F6254">
        <w:t>)</w:t>
      </w:r>
      <w:r w:rsidRPr="004A7E5E">
        <w:t xml:space="preserve">Ps production is burdensome. There are several measures already proposed to reduce this burden and we would suggest further reduction in the burden would be a preferable step to removing the need to publish them. There is insufficient guidance that SSCPs/SSPs should be a true summary of the clinical evaluation or performance evaluation report. Many SSCPs and SSPs we see are excessively long and complex – not really summaries but completely new documents that are so long they become inaccessible to the </w:t>
      </w:r>
      <w:r w:rsidR="00A91AFE" w:rsidRPr="004A7E5E">
        <w:t xml:space="preserve">layperson </w:t>
      </w:r>
      <w:r w:rsidR="00A91AFE" w:rsidRPr="005552A8">
        <w:rPr>
          <w:rFonts w:ascii="Segoe UI" w:hAnsi="Segoe UI" w:cs="Segoe UI"/>
        </w:rPr>
        <w:t>-</w:t>
      </w:r>
      <w:r w:rsidR="005552A8" w:rsidRPr="005552A8">
        <w:t xml:space="preserve"> who in the case of IVD near-patient and self-tests is also the end user - </w:t>
      </w:r>
      <w:r w:rsidRPr="004A7E5E">
        <w:t>and therefore defeat their purpose. Further clarity that the SSCP/SSP is to be truly a summary in layperson readable form would both reduce the supposed burden and increase their utility.</w:t>
      </w:r>
    </w:p>
    <w:p w14:paraId="2CC6F9C1" w14:textId="77777777" w:rsidR="00E7303F" w:rsidRDefault="00E7303F" w:rsidP="0024535D">
      <w:r w:rsidRPr="004A7E5E">
        <w:t>Another argument presented is that the SSCP must be validated by the notified body and therefore only those devices where the notified body is undertaking a full assessment of the technical file should have an SSCP/SSP. But this is putting the cart before the horse. The purpose of the SSCP is not to be validated by the notified body, it would be preferable to publish SSCPs that have not been validated by notified bodies to not having SSCPs.</w:t>
      </w:r>
    </w:p>
    <w:p w14:paraId="02CDFB11" w14:textId="77777777" w:rsidR="000060D0" w:rsidRPr="004A7E5E" w:rsidRDefault="000060D0" w:rsidP="002542E6">
      <w:pPr>
        <w:pStyle w:val="Titre2"/>
        <w:rPr>
          <w:lang w:val="en-US"/>
        </w:rPr>
      </w:pPr>
      <w:bookmarkStart w:id="348" w:name="_Toc225930707"/>
      <w:bookmarkStart w:id="349" w:name="_Toc225931165"/>
      <w:bookmarkStart w:id="350" w:name="_Toc225931622"/>
      <w:bookmarkStart w:id="351" w:name="_Toc225932062"/>
      <w:bookmarkStart w:id="352" w:name="_Toc225932502"/>
      <w:bookmarkStart w:id="353" w:name="_Toc225932942"/>
      <w:bookmarkStart w:id="354" w:name="_Toc225933382"/>
      <w:bookmarkStart w:id="355" w:name="_Toc225948689"/>
      <w:bookmarkStart w:id="356" w:name="_Toc225949318"/>
      <w:bookmarkStart w:id="357" w:name="_Toc225963363"/>
      <w:bookmarkStart w:id="358" w:name="_Toc226533703"/>
      <w:bookmarkEnd w:id="348"/>
      <w:bookmarkEnd w:id="349"/>
      <w:bookmarkEnd w:id="350"/>
      <w:bookmarkEnd w:id="351"/>
      <w:bookmarkEnd w:id="352"/>
      <w:bookmarkEnd w:id="353"/>
      <w:bookmarkEnd w:id="354"/>
      <w:bookmarkEnd w:id="355"/>
      <w:bookmarkEnd w:id="356"/>
      <w:bookmarkEnd w:id="357"/>
      <w:r w:rsidRPr="004A7E5E">
        <w:rPr>
          <w:lang w:val="en-US"/>
        </w:rPr>
        <w:t>Suggested input for IVDs</w:t>
      </w:r>
      <w:bookmarkEnd w:id="358"/>
    </w:p>
    <w:p w14:paraId="33760CD1" w14:textId="50053136" w:rsidR="000C2B0F" w:rsidRDefault="000060D0" w:rsidP="00CB668C">
      <w:pPr>
        <w:rPr>
          <w:b/>
          <w:i/>
        </w:rPr>
      </w:pPr>
      <w:r w:rsidRPr="004A7E5E">
        <w:rPr>
          <w:lang w:val="en-US"/>
        </w:rPr>
        <w:t xml:space="preserve">Notified bodies are broadly aligned with the proposed revisions to the IVDR articles and annexes related to performance evaluation. However, several elements require clarification. For example, the proposal allows manufacturers to demonstrate clinical performance using data from clinically equivalent devices, yet it does not define </w:t>
      </w:r>
      <w:r w:rsidRPr="004A7E5E">
        <w:rPr>
          <w:i/>
          <w:lang w:val="en-US"/>
        </w:rPr>
        <w:t>equivalence</w:t>
      </w:r>
      <w:r w:rsidRPr="004A7E5E">
        <w:rPr>
          <w:lang w:val="en-US"/>
        </w:rPr>
        <w:t>. Likewise, while criteria are outlined for high</w:t>
      </w:r>
      <w:r w:rsidRPr="004A7E5E">
        <w:rPr>
          <w:rFonts w:ascii="Cambria Math" w:hAnsi="Cambria Math" w:cs="Cambria Math"/>
          <w:lang w:val="en-US"/>
        </w:rPr>
        <w:t>‑</w:t>
      </w:r>
      <w:r w:rsidRPr="004A7E5E">
        <w:rPr>
          <w:lang w:val="en-US"/>
        </w:rPr>
        <w:t xml:space="preserve">risk procedures, the proposal does not define which procedures fall into this category. To support consistent implementation, notified bodies propose definitions for both </w:t>
      </w:r>
      <w:r w:rsidRPr="004A7E5E">
        <w:rPr>
          <w:i/>
          <w:lang w:val="en-US"/>
        </w:rPr>
        <w:t>equivalence</w:t>
      </w:r>
      <w:r w:rsidRPr="004A7E5E">
        <w:rPr>
          <w:lang w:val="en-US"/>
        </w:rPr>
        <w:t xml:space="preserve"> and </w:t>
      </w:r>
      <w:r w:rsidRPr="004A7E5E">
        <w:rPr>
          <w:i/>
          <w:lang w:val="en-US"/>
        </w:rPr>
        <w:t>high</w:t>
      </w:r>
      <w:r w:rsidRPr="004A7E5E">
        <w:rPr>
          <w:rFonts w:ascii="Cambria Math" w:hAnsi="Cambria Math" w:cs="Cambria Math"/>
          <w:i/>
          <w:lang w:val="en-US"/>
        </w:rPr>
        <w:t>‑</w:t>
      </w:r>
      <w:r w:rsidRPr="004A7E5E">
        <w:rPr>
          <w:i/>
          <w:lang w:val="en-US"/>
        </w:rPr>
        <w:t>risk procedures</w:t>
      </w:r>
      <w:r w:rsidR="002F7A1F">
        <w:rPr>
          <w:i/>
          <w:lang w:val="en-US"/>
        </w:rPr>
        <w:t>.</w:t>
      </w:r>
    </w:p>
    <w:p w14:paraId="44F1697D" w14:textId="77777777" w:rsidR="00B87B52" w:rsidRPr="004A7E5E" w:rsidRDefault="00B87B52" w:rsidP="00CB668C"/>
    <w:p w14:paraId="52D68943" w14:textId="2F5E90AB" w:rsidR="000C2B0F" w:rsidRDefault="000C2B0F" w:rsidP="004A7E5E">
      <w:pPr>
        <w:pStyle w:val="Titre1"/>
      </w:pPr>
      <w:bookmarkStart w:id="359" w:name="_Toc226533704"/>
      <w:r w:rsidRPr="004A7E5E">
        <w:t>Safety concerns</w:t>
      </w:r>
      <w:bookmarkEnd w:id="359"/>
      <w:r w:rsidRPr="004A7E5E">
        <w:t xml:space="preserve"> </w:t>
      </w:r>
    </w:p>
    <w:p w14:paraId="05696552" w14:textId="2EBFC647" w:rsidR="00B55425" w:rsidRDefault="00B55425" w:rsidP="00B55425">
      <w:pPr>
        <w:pStyle w:val="Titre2"/>
      </w:pPr>
      <w:bookmarkStart w:id="360" w:name="_Toc226533705"/>
      <w:r>
        <w:t>High-level summary</w:t>
      </w:r>
      <w:bookmarkEnd w:id="360"/>
      <w:r>
        <w:t xml:space="preserve"> </w:t>
      </w:r>
    </w:p>
    <w:p w14:paraId="19E5F4CB" w14:textId="4B8A67D5" w:rsidR="00B55425" w:rsidRPr="004A7E5E" w:rsidRDefault="00B55425" w:rsidP="005C7A76">
      <w:pPr>
        <w:spacing w:after="0"/>
      </w:pPr>
      <w:r w:rsidRPr="004A7E5E">
        <w:rPr>
          <w:lang w:val="en-US"/>
        </w:rPr>
        <w:t xml:space="preserve">The proposed MDR/IVDR revisions would substantially reduce the level of regulatory scrutiny by limiting </w:t>
      </w:r>
      <w:r w:rsidR="00E57C7D">
        <w:rPr>
          <w:lang w:val="en-US"/>
        </w:rPr>
        <w:t>n</w:t>
      </w:r>
      <w:r w:rsidRPr="004A7E5E">
        <w:rPr>
          <w:lang w:val="en-US"/>
        </w:rPr>
        <w:t xml:space="preserve">otified </w:t>
      </w:r>
      <w:r w:rsidR="00E57C7D">
        <w:rPr>
          <w:lang w:val="en-US"/>
        </w:rPr>
        <w:t>b</w:t>
      </w:r>
      <w:r w:rsidRPr="004A7E5E">
        <w:rPr>
          <w:lang w:val="en-US"/>
        </w:rPr>
        <w:t>ody involvement across certification and surveillance activities. Several proposed changes—such as the removal of unannounced audits, less frequent review of safety</w:t>
      </w:r>
      <w:r w:rsidRPr="004A7E5E">
        <w:rPr>
          <w:rFonts w:ascii="Cambria Math" w:hAnsi="Cambria Math" w:cs="Cambria Math"/>
          <w:lang w:val="en-US"/>
        </w:rPr>
        <w:t>‑</w:t>
      </w:r>
      <w:r w:rsidRPr="004A7E5E">
        <w:rPr>
          <w:lang w:val="en-US"/>
        </w:rPr>
        <w:t>related reports, and reduced systematic documentation assessments</w:t>
      </w:r>
      <w:r w:rsidRPr="004A7E5E">
        <w:rPr>
          <w:rFonts w:cs="Aptos"/>
          <w:lang w:val="en-US"/>
        </w:rPr>
        <w:t>—</w:t>
      </w:r>
      <w:r w:rsidRPr="004A7E5E">
        <w:rPr>
          <w:lang w:val="en-US"/>
        </w:rPr>
        <w:t>would lower oversight below the standards applied even prior to the MDR/IVDR.</w:t>
      </w:r>
    </w:p>
    <w:p w14:paraId="25ECC89E" w14:textId="77777777" w:rsidR="00B55425" w:rsidRPr="004A7E5E" w:rsidRDefault="00B55425" w:rsidP="005C7A76">
      <w:pPr>
        <w:spacing w:after="0"/>
      </w:pPr>
      <w:r w:rsidRPr="004A7E5E">
        <w:rPr>
          <w:lang w:val="en-US"/>
        </w:rPr>
        <w:t>Such a reduction in scrutiny would lessen the effectiveness of established preventive controls and constrain the system’s ability to identify safety and performance issues as early and consistently as under the current framework.</w:t>
      </w:r>
    </w:p>
    <w:p w14:paraId="0D1AB47C" w14:textId="77777777" w:rsidR="005C7A76" w:rsidRDefault="005C7A76" w:rsidP="005C7A76">
      <w:pPr>
        <w:spacing w:after="0"/>
        <w:rPr>
          <w:lang w:val="en-US"/>
        </w:rPr>
      </w:pPr>
    </w:p>
    <w:p w14:paraId="07D92A12" w14:textId="11C9FDCF" w:rsidR="00B55425" w:rsidRPr="004A7E5E" w:rsidRDefault="00B55425" w:rsidP="005C7A76">
      <w:pPr>
        <w:spacing w:after="0"/>
      </w:pPr>
      <w:r w:rsidRPr="004A7E5E">
        <w:rPr>
          <w:lang w:val="en-US"/>
        </w:rPr>
        <w:t xml:space="preserve">From a </w:t>
      </w:r>
      <w:r w:rsidR="00E57C7D">
        <w:rPr>
          <w:lang w:val="en-US"/>
        </w:rPr>
        <w:t>n</w:t>
      </w:r>
      <w:r w:rsidRPr="004A7E5E">
        <w:rPr>
          <w:lang w:val="en-US"/>
        </w:rPr>
        <w:t xml:space="preserve">otified </w:t>
      </w:r>
      <w:r w:rsidR="00E57C7D">
        <w:rPr>
          <w:lang w:val="en-US"/>
        </w:rPr>
        <w:t>b</w:t>
      </w:r>
      <w:r w:rsidRPr="004A7E5E">
        <w:rPr>
          <w:lang w:val="en-US"/>
        </w:rPr>
        <w:t xml:space="preserve">ody perspective, these developments could lead to an overall increase in risk for patients and healthcare professionals. A structured assessment of the key issues—together with constructive alternative solutions designed to maintain regulatory robustness while supporting implementation efficiency—is provided in </w:t>
      </w:r>
      <w:r>
        <w:rPr>
          <w:lang w:val="en-US"/>
        </w:rPr>
        <w:t>Annex I of this document</w:t>
      </w:r>
      <w:r w:rsidRPr="004A7E5E">
        <w:rPr>
          <w:lang w:val="en-US"/>
        </w:rPr>
        <w:t>.</w:t>
      </w:r>
    </w:p>
    <w:p w14:paraId="138F6CEE" w14:textId="77777777" w:rsidR="00B55425" w:rsidRPr="00B55425" w:rsidRDefault="00B55425" w:rsidP="005C7A76">
      <w:pPr>
        <w:spacing w:after="0"/>
      </w:pPr>
    </w:p>
    <w:p w14:paraId="145C0751" w14:textId="73E44D8B" w:rsidR="00FE2F90" w:rsidRPr="00FE2F90" w:rsidRDefault="005A018D" w:rsidP="00FE2F90">
      <w:pPr>
        <w:pStyle w:val="Titre2"/>
        <w:spacing w:before="0"/>
      </w:pPr>
      <w:bookmarkStart w:id="361" w:name="_Toc225929800"/>
      <w:bookmarkStart w:id="362" w:name="_Toc225930252"/>
      <w:bookmarkStart w:id="363" w:name="_Toc225930710"/>
      <w:bookmarkStart w:id="364" w:name="_Toc225931169"/>
      <w:bookmarkStart w:id="365" w:name="_Toc225931626"/>
      <w:bookmarkStart w:id="366" w:name="_Toc225932066"/>
      <w:bookmarkStart w:id="367" w:name="_Toc225932506"/>
      <w:bookmarkStart w:id="368" w:name="_Toc225932946"/>
      <w:bookmarkStart w:id="369" w:name="_Toc225933386"/>
      <w:bookmarkStart w:id="370" w:name="_Toc225948693"/>
      <w:bookmarkStart w:id="371" w:name="_Toc225949322"/>
      <w:bookmarkStart w:id="372" w:name="_Toc225963367"/>
      <w:bookmarkStart w:id="373" w:name="_Toc225929801"/>
      <w:bookmarkStart w:id="374" w:name="_Toc225930253"/>
      <w:bookmarkStart w:id="375" w:name="_Toc225930711"/>
      <w:bookmarkStart w:id="376" w:name="_Toc225931170"/>
      <w:bookmarkStart w:id="377" w:name="_Toc225931627"/>
      <w:bookmarkStart w:id="378" w:name="_Toc225932067"/>
      <w:bookmarkStart w:id="379" w:name="_Toc225932507"/>
      <w:bookmarkStart w:id="380" w:name="_Toc225932947"/>
      <w:bookmarkStart w:id="381" w:name="_Toc225933387"/>
      <w:bookmarkStart w:id="382" w:name="_Toc225948694"/>
      <w:bookmarkStart w:id="383" w:name="_Toc225949323"/>
      <w:bookmarkStart w:id="384" w:name="_Toc225963368"/>
      <w:bookmarkStart w:id="385" w:name="_Toc225929802"/>
      <w:bookmarkStart w:id="386" w:name="_Toc225930254"/>
      <w:bookmarkStart w:id="387" w:name="_Toc225930712"/>
      <w:bookmarkStart w:id="388" w:name="_Toc225931171"/>
      <w:bookmarkStart w:id="389" w:name="_Toc225931628"/>
      <w:bookmarkStart w:id="390" w:name="_Toc225932068"/>
      <w:bookmarkStart w:id="391" w:name="_Toc225932508"/>
      <w:bookmarkStart w:id="392" w:name="_Toc225932948"/>
      <w:bookmarkStart w:id="393" w:name="_Toc225933388"/>
      <w:bookmarkStart w:id="394" w:name="_Toc225948695"/>
      <w:bookmarkStart w:id="395" w:name="_Toc225949324"/>
      <w:bookmarkStart w:id="396" w:name="_Toc225963369"/>
      <w:bookmarkStart w:id="397" w:name="_Toc225929803"/>
      <w:bookmarkStart w:id="398" w:name="_Toc225930255"/>
      <w:bookmarkStart w:id="399" w:name="_Toc225930713"/>
      <w:bookmarkStart w:id="400" w:name="_Toc225931172"/>
      <w:bookmarkStart w:id="401" w:name="_Toc225931629"/>
      <w:bookmarkStart w:id="402" w:name="_Toc225932069"/>
      <w:bookmarkStart w:id="403" w:name="_Toc225932509"/>
      <w:bookmarkStart w:id="404" w:name="_Toc225932949"/>
      <w:bookmarkStart w:id="405" w:name="_Toc225933389"/>
      <w:bookmarkStart w:id="406" w:name="_Toc225948696"/>
      <w:bookmarkStart w:id="407" w:name="_Toc225949325"/>
      <w:bookmarkStart w:id="408" w:name="_Toc225963370"/>
      <w:bookmarkStart w:id="409" w:name="_Toc225929804"/>
      <w:bookmarkStart w:id="410" w:name="_Toc225930256"/>
      <w:bookmarkStart w:id="411" w:name="_Toc225930714"/>
      <w:bookmarkStart w:id="412" w:name="_Toc225931173"/>
      <w:bookmarkStart w:id="413" w:name="_Toc225931630"/>
      <w:bookmarkStart w:id="414" w:name="_Toc225932070"/>
      <w:bookmarkStart w:id="415" w:name="_Toc225932510"/>
      <w:bookmarkStart w:id="416" w:name="_Toc225932950"/>
      <w:bookmarkStart w:id="417" w:name="_Toc225933390"/>
      <w:bookmarkStart w:id="418" w:name="_Toc225948697"/>
      <w:bookmarkStart w:id="419" w:name="_Toc225949326"/>
      <w:bookmarkStart w:id="420" w:name="_Toc225963371"/>
      <w:bookmarkStart w:id="421" w:name="_Toc226533706"/>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r>
        <w:t>Safety</w:t>
      </w:r>
      <w:r w:rsidR="21C924FE" w:rsidRPr="004A7E5E">
        <w:t xml:space="preserve"> concerns</w:t>
      </w:r>
      <w:bookmarkEnd w:id="421"/>
    </w:p>
    <w:p w14:paraId="269BC626" w14:textId="06925EFF" w:rsidR="6D9CBA28" w:rsidRDefault="6D9CBA28" w:rsidP="005C7A76">
      <w:pPr>
        <w:spacing w:after="0"/>
      </w:pPr>
      <w:r w:rsidRPr="004A7E5E">
        <w:t>The proposed revisions to the MDR and IVDR would significantly lower the level of regulatory scrutiny applied to medical devices and IVDs across both pre</w:t>
      </w:r>
      <w:r w:rsidRPr="004A7E5E">
        <w:rPr>
          <w:rFonts w:ascii="Cambria Math" w:hAnsi="Cambria Math" w:cs="Cambria Math"/>
        </w:rPr>
        <w:t>‑</w:t>
      </w:r>
      <w:r w:rsidRPr="004A7E5E">
        <w:t>market and post</w:t>
      </w:r>
      <w:r w:rsidRPr="004A7E5E">
        <w:rPr>
          <w:rFonts w:ascii="Cambria Math" w:hAnsi="Cambria Math" w:cs="Cambria Math"/>
        </w:rPr>
        <w:t>‑</w:t>
      </w:r>
      <w:r w:rsidRPr="004A7E5E">
        <w:t>market phases, thereby increasing the potential risk to public health.</w:t>
      </w:r>
      <w:r w:rsidR="000C3FE0">
        <w:t xml:space="preserve"> </w:t>
      </w:r>
    </w:p>
    <w:p w14:paraId="03465631" w14:textId="385306E6" w:rsidR="008E3793" w:rsidRPr="008E3793" w:rsidRDefault="6D9CBA28" w:rsidP="005C7A76">
      <w:pPr>
        <w:spacing w:after="0"/>
        <w:rPr>
          <w:lang w:val="en-US"/>
        </w:rPr>
      </w:pPr>
      <w:r w:rsidRPr="004A7E5E">
        <w:rPr>
          <w:lang w:val="en-US"/>
        </w:rPr>
        <w:t xml:space="preserve">A key concern is the substantial reduction in </w:t>
      </w:r>
      <w:r w:rsidR="00E57C7D">
        <w:rPr>
          <w:lang w:val="en-US"/>
        </w:rPr>
        <w:t>n</w:t>
      </w:r>
      <w:r w:rsidRPr="004A7E5E">
        <w:rPr>
          <w:lang w:val="en-US"/>
        </w:rPr>
        <w:t xml:space="preserve">otified </w:t>
      </w:r>
      <w:r w:rsidR="00E57C7D">
        <w:rPr>
          <w:lang w:val="en-US"/>
        </w:rPr>
        <w:t>b</w:t>
      </w:r>
      <w:r w:rsidRPr="004A7E5E">
        <w:rPr>
          <w:lang w:val="en-US"/>
        </w:rPr>
        <w:t>ody involvement throughout the conformity assessment lifecycle—from initial certification activities to ongoing surveillance. Such a shift would weaken core elements of the EU’s medical device safety framework.</w:t>
      </w:r>
      <w:r w:rsidR="008E3793">
        <w:rPr>
          <w:lang w:val="en-US"/>
        </w:rPr>
        <w:t xml:space="preserve"> </w:t>
      </w:r>
    </w:p>
    <w:p w14:paraId="1E38A089" w14:textId="5BC13727" w:rsidR="6D9CBA28" w:rsidRPr="004A7E5E" w:rsidRDefault="6D9CBA28" w:rsidP="005C7A76">
      <w:pPr>
        <w:spacing w:after="0"/>
      </w:pPr>
      <w:r w:rsidRPr="004A7E5E">
        <w:rPr>
          <w:lang w:val="en-US"/>
        </w:rPr>
        <w:t>The cumulative impact of the proposed measures is particularly noteworthy.</w:t>
      </w:r>
    </w:p>
    <w:p w14:paraId="3C92D2E1" w14:textId="5ED1CDBD" w:rsidR="3B4BBD82" w:rsidRPr="004A7E5E" w:rsidRDefault="3B4BBD82" w:rsidP="005C7A76">
      <w:pPr>
        <w:spacing w:after="0"/>
      </w:pPr>
      <w:r w:rsidRPr="004A7E5E">
        <w:t>The proposed revisions introduce a series of measures that collectively reduce the depth and consistency of regulatory oversight. These include:</w:t>
      </w:r>
    </w:p>
    <w:p w14:paraId="76D8700A" w14:textId="50A73D8F" w:rsidR="70EFD5EA" w:rsidRPr="00F26E61" w:rsidRDefault="70EFD5EA" w:rsidP="00700B94">
      <w:pPr>
        <w:pStyle w:val="Paragraphedeliste"/>
        <w:numPr>
          <w:ilvl w:val="0"/>
          <w:numId w:val="57"/>
        </w:numPr>
        <w:spacing w:after="0"/>
      </w:pPr>
      <w:r w:rsidRPr="0024535D">
        <w:t xml:space="preserve">Reduction of systematic </w:t>
      </w:r>
      <w:r w:rsidRPr="00F26E61">
        <w:t>audit activities</w:t>
      </w:r>
      <w:r w:rsidR="000C4795" w:rsidRPr="00F26E61">
        <w:t xml:space="preserve"> </w:t>
      </w:r>
      <w:r w:rsidR="000C4795" w:rsidRPr="00F26E61">
        <w:rPr>
          <w:lang w:val="en-US"/>
        </w:rPr>
        <w:t xml:space="preserve">(see Table Ref. </w:t>
      </w:r>
      <w:proofErr w:type="spellStart"/>
      <w:r w:rsidR="000C4795" w:rsidRPr="00F26E61">
        <w:rPr>
          <w:lang w:val="en-US"/>
        </w:rPr>
        <w:t>no</w:t>
      </w:r>
      <w:proofErr w:type="spellEnd"/>
      <w:r w:rsidR="000C4795" w:rsidRPr="00F26E61">
        <w:rPr>
          <w:lang w:val="en-US"/>
        </w:rPr>
        <w:t xml:space="preserve"> 57</w:t>
      </w:r>
      <w:r w:rsidR="005E41F4" w:rsidRPr="00F26E61">
        <w:rPr>
          <w:lang w:val="en-US"/>
        </w:rPr>
        <w:t>, with specific example</w:t>
      </w:r>
      <w:r w:rsidR="000C4795" w:rsidRPr="00F26E61">
        <w:rPr>
          <w:lang w:val="en-US"/>
        </w:rPr>
        <w:t>)</w:t>
      </w:r>
    </w:p>
    <w:p w14:paraId="6B2DBA9D" w14:textId="0CDFF7BF" w:rsidR="3B4BBD82" w:rsidRPr="00F26E61" w:rsidRDefault="3B4BBD82" w:rsidP="00700B94">
      <w:pPr>
        <w:pStyle w:val="Paragraphedeliste"/>
        <w:numPr>
          <w:ilvl w:val="0"/>
          <w:numId w:val="57"/>
        </w:numPr>
        <w:spacing w:after="0"/>
        <w:rPr>
          <w:lang w:val="en-US"/>
        </w:rPr>
      </w:pPr>
      <w:r w:rsidRPr="00F26E61">
        <w:rPr>
          <w:lang w:val="en-US"/>
        </w:rPr>
        <w:t>Removal of product</w:t>
      </w:r>
      <w:r w:rsidRPr="00F26E61">
        <w:rPr>
          <w:rFonts w:ascii="Cambria Math" w:hAnsi="Cambria Math" w:cs="Cambria Math"/>
          <w:lang w:val="en-US"/>
        </w:rPr>
        <w:t>‑</w:t>
      </w:r>
      <w:r w:rsidRPr="00F26E61">
        <w:rPr>
          <w:lang w:val="en-US"/>
        </w:rPr>
        <w:t>specific unannounced audit requirements</w:t>
      </w:r>
      <w:r w:rsidR="001A2892" w:rsidRPr="00F26E61">
        <w:rPr>
          <w:lang w:val="en-US"/>
        </w:rPr>
        <w:t xml:space="preserve"> (see Table Ref. </w:t>
      </w:r>
      <w:proofErr w:type="spellStart"/>
      <w:r w:rsidR="001A2892" w:rsidRPr="00F26E61">
        <w:rPr>
          <w:lang w:val="en-US"/>
        </w:rPr>
        <w:t>no</w:t>
      </w:r>
      <w:proofErr w:type="spellEnd"/>
      <w:r w:rsidR="001A2892" w:rsidRPr="00F26E61">
        <w:rPr>
          <w:lang w:val="en-US"/>
        </w:rPr>
        <w:t xml:space="preserve"> 5</w:t>
      </w:r>
      <w:r w:rsidR="000D475F" w:rsidRPr="00F26E61">
        <w:rPr>
          <w:lang w:val="en-US"/>
        </w:rPr>
        <w:t>8, with specific examples</w:t>
      </w:r>
      <w:r w:rsidR="001A2892" w:rsidRPr="00F26E61">
        <w:rPr>
          <w:lang w:val="en-US"/>
        </w:rPr>
        <w:t>)</w:t>
      </w:r>
    </w:p>
    <w:p w14:paraId="4D9E16BD" w14:textId="4C53B3A2" w:rsidR="3B4BBD82" w:rsidRPr="00F26E61" w:rsidRDefault="3B4BBD82" w:rsidP="00700B94">
      <w:pPr>
        <w:pStyle w:val="Paragraphedeliste"/>
        <w:numPr>
          <w:ilvl w:val="0"/>
          <w:numId w:val="57"/>
        </w:numPr>
        <w:spacing w:after="0"/>
        <w:rPr>
          <w:lang w:val="en-US"/>
        </w:rPr>
      </w:pPr>
      <w:r w:rsidRPr="00F26E61">
        <w:rPr>
          <w:lang w:val="en-US"/>
        </w:rPr>
        <w:t>Reduction of mandatory technical documentation assessments for representative product groups</w:t>
      </w:r>
      <w:r w:rsidR="00C24AED" w:rsidRPr="00F26E61">
        <w:rPr>
          <w:lang w:val="en-US"/>
        </w:rPr>
        <w:t xml:space="preserve"> (see Table Ref. </w:t>
      </w:r>
      <w:proofErr w:type="spellStart"/>
      <w:r w:rsidR="00C24AED" w:rsidRPr="00F26E61">
        <w:rPr>
          <w:lang w:val="en-US"/>
        </w:rPr>
        <w:t>no</w:t>
      </w:r>
      <w:proofErr w:type="spellEnd"/>
      <w:r w:rsidR="00C24AED" w:rsidRPr="00F26E61">
        <w:rPr>
          <w:lang w:val="en-US"/>
        </w:rPr>
        <w:t xml:space="preserve"> 55,56)</w:t>
      </w:r>
    </w:p>
    <w:p w14:paraId="298F7885" w14:textId="5DD246CD" w:rsidR="3B4BBD82" w:rsidRPr="00F26E61" w:rsidRDefault="3B4BBD82" w:rsidP="00700B94">
      <w:pPr>
        <w:pStyle w:val="Paragraphedeliste"/>
        <w:numPr>
          <w:ilvl w:val="0"/>
          <w:numId w:val="57"/>
        </w:numPr>
        <w:spacing w:after="0"/>
        <w:rPr>
          <w:lang w:val="en-US"/>
        </w:rPr>
      </w:pPr>
      <w:r w:rsidRPr="00F26E61">
        <w:rPr>
          <w:lang w:val="en-US"/>
        </w:rPr>
        <w:t>Elimination of standalone product</w:t>
      </w:r>
      <w:r w:rsidRPr="00F26E61">
        <w:rPr>
          <w:rFonts w:ascii="Cambria Math" w:hAnsi="Cambria Math" w:cs="Cambria Math"/>
          <w:lang w:val="en-US"/>
        </w:rPr>
        <w:t>‑</w:t>
      </w:r>
      <w:r w:rsidRPr="00F26E61">
        <w:rPr>
          <w:lang w:val="en-US"/>
        </w:rPr>
        <w:t xml:space="preserve"> or group</w:t>
      </w:r>
      <w:r w:rsidRPr="00F26E61">
        <w:rPr>
          <w:rFonts w:ascii="Cambria Math" w:hAnsi="Cambria Math" w:cs="Cambria Math"/>
          <w:lang w:val="en-US"/>
        </w:rPr>
        <w:t>‑</w:t>
      </w:r>
      <w:r w:rsidRPr="00F26E61">
        <w:rPr>
          <w:lang w:val="en-US"/>
        </w:rPr>
        <w:t>specific PSUR reviews</w:t>
      </w:r>
      <w:r w:rsidR="00E3320D" w:rsidRPr="00F26E61">
        <w:rPr>
          <w:lang w:val="en-US"/>
        </w:rPr>
        <w:t xml:space="preserve"> (see Table Ref. </w:t>
      </w:r>
      <w:proofErr w:type="spellStart"/>
      <w:r w:rsidR="00E3320D" w:rsidRPr="00F26E61">
        <w:rPr>
          <w:lang w:val="en-US"/>
        </w:rPr>
        <w:t>no</w:t>
      </w:r>
      <w:proofErr w:type="spellEnd"/>
      <w:r w:rsidR="00E3320D" w:rsidRPr="00F26E61">
        <w:rPr>
          <w:lang w:val="en-US"/>
        </w:rPr>
        <w:t xml:space="preserve"> 34,35)</w:t>
      </w:r>
    </w:p>
    <w:p w14:paraId="74347AC8" w14:textId="48B36640" w:rsidR="3B4BBD82" w:rsidRPr="00F26E61" w:rsidRDefault="3B4BBD82" w:rsidP="00700B94">
      <w:pPr>
        <w:pStyle w:val="Paragraphedeliste"/>
        <w:numPr>
          <w:ilvl w:val="0"/>
          <w:numId w:val="57"/>
        </w:numPr>
        <w:spacing w:after="0"/>
        <w:rPr>
          <w:lang w:val="en-US"/>
        </w:rPr>
      </w:pPr>
      <w:r w:rsidRPr="00F26E61">
        <w:rPr>
          <w:lang w:val="en-US"/>
        </w:rPr>
        <w:t>Increased reliance on “for</w:t>
      </w:r>
      <w:r w:rsidRPr="00F26E61">
        <w:rPr>
          <w:rFonts w:ascii="Cambria Math" w:hAnsi="Cambria Math" w:cs="Cambria Math"/>
          <w:lang w:val="en-US"/>
        </w:rPr>
        <w:t>‑</w:t>
      </w:r>
      <w:r w:rsidRPr="00F26E61">
        <w:rPr>
          <w:lang w:val="en-US"/>
        </w:rPr>
        <w:t>cause</w:t>
      </w:r>
      <w:r w:rsidRPr="00F26E61">
        <w:rPr>
          <w:rFonts w:cs="Aptos"/>
          <w:lang w:val="en-US"/>
        </w:rPr>
        <w:t>”</w:t>
      </w:r>
      <w:r w:rsidRPr="00F26E61">
        <w:rPr>
          <w:lang w:val="en-US"/>
        </w:rPr>
        <w:t xml:space="preserve"> assessments rather than </w:t>
      </w:r>
      <w:r w:rsidR="00DF26D3" w:rsidRPr="00F26E61">
        <w:rPr>
          <w:lang w:val="en-US"/>
        </w:rPr>
        <w:t xml:space="preserve">on </w:t>
      </w:r>
      <w:r w:rsidRPr="00F26E61">
        <w:rPr>
          <w:lang w:val="en-US"/>
        </w:rPr>
        <w:t>systematic oversight</w:t>
      </w:r>
      <w:r w:rsidR="00FD0F2A" w:rsidRPr="00F26E61">
        <w:rPr>
          <w:lang w:val="en-US"/>
        </w:rPr>
        <w:t xml:space="preserve"> (see Table Ref. no 56)</w:t>
      </w:r>
    </w:p>
    <w:p w14:paraId="7C0111A3" w14:textId="08A297A0" w:rsidR="3B4BBD82" w:rsidRPr="00F26E61" w:rsidRDefault="3B4BBD82" w:rsidP="00700B94">
      <w:pPr>
        <w:pStyle w:val="Paragraphedeliste"/>
        <w:numPr>
          <w:ilvl w:val="0"/>
          <w:numId w:val="57"/>
        </w:numPr>
        <w:spacing w:after="0"/>
        <w:rPr>
          <w:lang w:val="en-US"/>
        </w:rPr>
      </w:pPr>
      <w:r w:rsidRPr="00F26E61">
        <w:rPr>
          <w:lang w:val="en-US"/>
        </w:rPr>
        <w:t>Down</w:t>
      </w:r>
      <w:r w:rsidRPr="00F26E61">
        <w:rPr>
          <w:rFonts w:ascii="Cambria Math" w:hAnsi="Cambria Math" w:cs="Cambria Math"/>
          <w:lang w:val="en-US"/>
        </w:rPr>
        <w:t>‑</w:t>
      </w:r>
      <w:r w:rsidRPr="00F26E61">
        <w:rPr>
          <w:lang w:val="en-US"/>
        </w:rPr>
        <w:t>classification of certain high</w:t>
      </w:r>
      <w:r w:rsidRPr="00F26E61">
        <w:rPr>
          <w:rFonts w:ascii="Cambria Math" w:hAnsi="Cambria Math" w:cs="Cambria Math"/>
          <w:lang w:val="en-US"/>
        </w:rPr>
        <w:t>‑</w:t>
      </w:r>
      <w:r w:rsidRPr="00F26E61">
        <w:rPr>
          <w:lang w:val="en-US"/>
        </w:rPr>
        <w:t>risk products</w:t>
      </w:r>
      <w:r w:rsidR="00FD0F2A" w:rsidRPr="00F26E61">
        <w:rPr>
          <w:lang w:val="en-US"/>
        </w:rPr>
        <w:t xml:space="preserve"> (see Table Ref. </w:t>
      </w:r>
      <w:proofErr w:type="spellStart"/>
      <w:r w:rsidR="00FD0F2A" w:rsidRPr="00F26E61">
        <w:rPr>
          <w:lang w:val="en-US"/>
        </w:rPr>
        <w:t>no</w:t>
      </w:r>
      <w:proofErr w:type="spellEnd"/>
      <w:r w:rsidR="00FD0F2A" w:rsidRPr="00F26E61">
        <w:rPr>
          <w:lang w:val="en-US"/>
        </w:rPr>
        <w:t xml:space="preserve"> 27,54)</w:t>
      </w:r>
    </w:p>
    <w:p w14:paraId="1A2E9E7B" w14:textId="1A9FE9A1" w:rsidR="3B4BBD82" w:rsidRPr="00F26E61" w:rsidRDefault="3B4BBD82" w:rsidP="00700B94">
      <w:pPr>
        <w:pStyle w:val="Paragraphedeliste"/>
        <w:numPr>
          <w:ilvl w:val="0"/>
          <w:numId w:val="57"/>
        </w:numPr>
        <w:spacing w:after="0"/>
        <w:rPr>
          <w:lang w:val="en-US"/>
        </w:rPr>
      </w:pPr>
      <w:r w:rsidRPr="00F26E61">
        <w:rPr>
          <w:lang w:val="en-US"/>
        </w:rPr>
        <w:t>Broad and loosely defined WET categorization, disproportionately affecting higher</w:t>
      </w:r>
      <w:r w:rsidRPr="00F26E61">
        <w:rPr>
          <w:rFonts w:ascii="Cambria Math" w:hAnsi="Cambria Math" w:cs="Cambria Math"/>
          <w:lang w:val="en-US"/>
        </w:rPr>
        <w:t>‑</w:t>
      </w:r>
      <w:r w:rsidRPr="00F26E61">
        <w:rPr>
          <w:lang w:val="en-US"/>
        </w:rPr>
        <w:t>risk devices</w:t>
      </w:r>
      <w:r w:rsidR="00DA581F" w:rsidRPr="00F26E61">
        <w:rPr>
          <w:lang w:val="en-US"/>
        </w:rPr>
        <w:t xml:space="preserve"> (see Table Ref</w:t>
      </w:r>
      <w:r w:rsidR="00896900" w:rsidRPr="00F26E61">
        <w:rPr>
          <w:lang w:val="en-US"/>
        </w:rPr>
        <w:t xml:space="preserve">. </w:t>
      </w:r>
      <w:proofErr w:type="spellStart"/>
      <w:r w:rsidR="00896900" w:rsidRPr="00F26E61">
        <w:rPr>
          <w:lang w:val="en-US"/>
        </w:rPr>
        <w:t>no</w:t>
      </w:r>
      <w:proofErr w:type="spellEnd"/>
      <w:r w:rsidR="00896900" w:rsidRPr="00F26E61">
        <w:rPr>
          <w:lang w:val="en-US"/>
        </w:rPr>
        <w:t xml:space="preserve"> </w:t>
      </w:r>
      <w:r w:rsidR="00FD0F2A" w:rsidRPr="00F26E61">
        <w:rPr>
          <w:lang w:val="en-US"/>
        </w:rPr>
        <w:t xml:space="preserve">5, </w:t>
      </w:r>
      <w:r w:rsidR="00896900" w:rsidRPr="00F26E61">
        <w:rPr>
          <w:lang w:val="en-US"/>
        </w:rPr>
        <w:t>55)</w:t>
      </w:r>
    </w:p>
    <w:p w14:paraId="12FE1F74" w14:textId="1CFEA79B" w:rsidR="00A515CF" w:rsidRPr="00F26E61" w:rsidRDefault="3B4BBD82" w:rsidP="00700B94">
      <w:pPr>
        <w:pStyle w:val="Paragraphedeliste"/>
        <w:numPr>
          <w:ilvl w:val="0"/>
          <w:numId w:val="57"/>
        </w:numPr>
        <w:spacing w:after="0"/>
        <w:rPr>
          <w:lang w:val="en-US"/>
        </w:rPr>
      </w:pPr>
      <w:r w:rsidRPr="00F26E61">
        <w:rPr>
          <w:lang w:val="en-US"/>
        </w:rPr>
        <w:t>Removal of re</w:t>
      </w:r>
      <w:r w:rsidRPr="00F26E61">
        <w:rPr>
          <w:rFonts w:ascii="Cambria Math" w:hAnsi="Cambria Math" w:cs="Cambria Math"/>
          <w:lang w:val="en-US"/>
        </w:rPr>
        <w:t>‑</w:t>
      </w:r>
      <w:r w:rsidRPr="00F26E61">
        <w:rPr>
          <w:lang w:val="en-US"/>
        </w:rPr>
        <w:t xml:space="preserve">certification </w:t>
      </w:r>
      <w:r w:rsidR="5510CB0F" w:rsidRPr="00F26E61">
        <w:rPr>
          <w:lang w:val="en-US"/>
        </w:rPr>
        <w:t xml:space="preserve">requirements </w:t>
      </w:r>
      <w:r w:rsidR="198E4B43" w:rsidRPr="00F26E61">
        <w:rPr>
          <w:lang w:val="en-US"/>
        </w:rPr>
        <w:t xml:space="preserve">and the introduction of periodic reviews and </w:t>
      </w:r>
      <w:r w:rsidRPr="00F26E61">
        <w:rPr>
          <w:lang w:val="en-US"/>
        </w:rPr>
        <w:t>extended certificate validity periods</w:t>
      </w:r>
      <w:r w:rsidR="00A515CF" w:rsidRPr="00F26E61">
        <w:rPr>
          <w:lang w:val="en-US"/>
        </w:rPr>
        <w:t xml:space="preserve"> (see Table Ref. no 53</w:t>
      </w:r>
      <w:r w:rsidR="00512227" w:rsidRPr="00F26E61">
        <w:rPr>
          <w:lang w:val="en-US"/>
        </w:rPr>
        <w:t>)</w:t>
      </w:r>
    </w:p>
    <w:p w14:paraId="20C8B356" w14:textId="3A0959BE" w:rsidR="00BC7266" w:rsidRPr="00E96AB6" w:rsidRDefault="00BC7266" w:rsidP="005C7A76">
      <w:pPr>
        <w:pStyle w:val="Paragraphedeliste"/>
        <w:spacing w:after="0"/>
        <w:rPr>
          <w:lang w:val="en-US"/>
        </w:rPr>
      </w:pPr>
    </w:p>
    <w:p w14:paraId="27AA75BE" w14:textId="5789A960" w:rsidR="005901B6" w:rsidRDefault="005A5480" w:rsidP="005C7A76">
      <w:pPr>
        <w:spacing w:after="0"/>
      </w:pPr>
      <w:r w:rsidRPr="005A5480">
        <w:rPr>
          <w:lang w:val="en-US"/>
        </w:rPr>
        <w:t>Viewed cumulatively</w:t>
      </w:r>
      <w:r w:rsidR="3B4BBD82" w:rsidRPr="004A7E5E">
        <w:rPr>
          <w:lang w:val="en-US"/>
        </w:rPr>
        <w:t>, these changes would significantly limit the system’s ability to detect safety and performance issues at an early stage, thereby weakening safeguards intended to prevent harm before it occurs. The</w:t>
      </w:r>
      <w:r w:rsidR="3BA64BC7" w:rsidRPr="004A7E5E">
        <w:rPr>
          <w:lang w:val="en-US"/>
        </w:rPr>
        <w:t xml:space="preserve"> proposed changes are </w:t>
      </w:r>
      <w:r w:rsidR="3B4BBD82" w:rsidRPr="004A7E5E">
        <w:rPr>
          <w:lang w:val="en-US"/>
        </w:rPr>
        <w:t>shifting the EU regulatory model from a proactive, preventive framework to a predominantly reactive one, where issues are identified only after serious incidents</w:t>
      </w:r>
      <w:r w:rsidR="004109D9">
        <w:rPr>
          <w:lang w:val="en-US"/>
        </w:rPr>
        <w:t xml:space="preserve"> </w:t>
      </w:r>
      <w:r w:rsidR="3B4BBD82" w:rsidRPr="004A7E5E">
        <w:rPr>
          <w:lang w:val="en-US"/>
        </w:rPr>
        <w:t>or widespread complaints arise.</w:t>
      </w:r>
    </w:p>
    <w:p w14:paraId="714DEF26" w14:textId="7424179A" w:rsidR="3B4BBD82" w:rsidRDefault="3B4BBD82" w:rsidP="005C7A76">
      <w:pPr>
        <w:spacing w:after="0"/>
        <w:rPr>
          <w:rFonts w:eastAsia="Calibri" w:cs="Calibri"/>
          <w:szCs w:val="22"/>
          <w:lang w:val="en-US"/>
        </w:rPr>
      </w:pPr>
      <w:r w:rsidRPr="004A7E5E">
        <w:rPr>
          <w:rFonts w:eastAsia="Calibri" w:cs="Calibri"/>
          <w:szCs w:val="22"/>
        </w:rPr>
        <w:lastRenderedPageBreak/>
        <w:t xml:space="preserve">Such a shift would undermine the preventive intent of the MDR/IVDR and could reduce the level of protection to below that which existed prior to their implementation. </w:t>
      </w:r>
      <w:r w:rsidRPr="004A7E5E">
        <w:rPr>
          <w:rFonts w:eastAsia="Calibri" w:cs="Calibri"/>
          <w:szCs w:val="22"/>
          <w:lang w:val="en-US"/>
        </w:rPr>
        <w:t>This, in turn, increases the likelihood that unsafe or non</w:t>
      </w:r>
      <w:r w:rsidRPr="004A7E5E">
        <w:rPr>
          <w:rFonts w:ascii="Cambria Math" w:eastAsia="Calibri" w:hAnsi="Cambria Math" w:cs="Cambria Math"/>
          <w:szCs w:val="22"/>
          <w:lang w:val="en-US"/>
        </w:rPr>
        <w:t>‑</w:t>
      </w:r>
      <w:r w:rsidRPr="004A7E5E">
        <w:rPr>
          <w:rFonts w:eastAsia="Calibri" w:cs="Calibri"/>
          <w:szCs w:val="22"/>
          <w:lang w:val="en-US"/>
        </w:rPr>
        <w:t>compliant devices remain in clinical use, with potential consequences for patient and healthcare</w:t>
      </w:r>
      <w:r w:rsidRPr="004A7E5E">
        <w:rPr>
          <w:rFonts w:ascii="Cambria Math" w:eastAsia="Calibri" w:hAnsi="Cambria Math" w:cs="Cambria Math"/>
          <w:szCs w:val="22"/>
          <w:lang w:val="en-US"/>
        </w:rPr>
        <w:t>‑</w:t>
      </w:r>
      <w:r w:rsidRPr="004A7E5E">
        <w:rPr>
          <w:rFonts w:eastAsia="Calibri" w:cs="Calibri"/>
          <w:szCs w:val="22"/>
          <w:lang w:val="en-US"/>
        </w:rPr>
        <w:t>professional safety and for public confidence in the regulatory system.</w:t>
      </w:r>
    </w:p>
    <w:p w14:paraId="59B82821" w14:textId="77777777" w:rsidR="005901B6" w:rsidRPr="004A7E5E" w:rsidRDefault="005901B6" w:rsidP="005C7A76">
      <w:pPr>
        <w:spacing w:after="0"/>
      </w:pPr>
    </w:p>
    <w:p w14:paraId="0A91BFC9" w14:textId="19D59B2E" w:rsidR="009575CA" w:rsidRDefault="1E9048B2" w:rsidP="005C7A76">
      <w:pPr>
        <w:spacing w:after="0"/>
        <w:rPr>
          <w:rFonts w:eastAsiaTheme="minorEastAsia"/>
          <w:szCs w:val="22"/>
          <w:lang w:val="en-US"/>
        </w:rPr>
      </w:pPr>
      <w:r w:rsidRPr="004A7E5E">
        <w:rPr>
          <w:rFonts w:eastAsiaTheme="minorEastAsia"/>
          <w:szCs w:val="22"/>
          <w:lang w:val="en-US"/>
        </w:rPr>
        <w:t>As an example, under the current system, the Technical Documentation for medium</w:t>
      </w:r>
      <w:r w:rsidRPr="004A7E5E">
        <w:rPr>
          <w:rFonts w:ascii="Cambria Math" w:eastAsiaTheme="minorEastAsia" w:hAnsi="Cambria Math" w:cs="Cambria Math"/>
          <w:szCs w:val="22"/>
          <w:lang w:val="en-US"/>
        </w:rPr>
        <w:t>‑</w:t>
      </w:r>
      <w:r w:rsidRPr="004A7E5E">
        <w:rPr>
          <w:rFonts w:eastAsiaTheme="minorEastAsia"/>
          <w:szCs w:val="22"/>
          <w:lang w:val="en-US"/>
        </w:rPr>
        <w:t>risk devices is reviewed proportionally, with only 5 to 15% of each device group assessed by the notified body</w:t>
      </w:r>
      <w:r w:rsidR="008567CF">
        <w:rPr>
          <w:rFonts w:eastAsiaTheme="minorEastAsia"/>
          <w:szCs w:val="22"/>
          <w:lang w:val="en-US"/>
        </w:rPr>
        <w:t xml:space="preserve"> during surveillance</w:t>
      </w:r>
      <w:r w:rsidRPr="004A7E5E">
        <w:rPr>
          <w:rFonts w:eastAsiaTheme="minorEastAsia"/>
          <w:szCs w:val="22"/>
          <w:lang w:val="en-US"/>
        </w:rPr>
        <w:t xml:space="preserve">. The proposed revision would reduce this to a single </w:t>
      </w:r>
      <w:r w:rsidR="00580EA0" w:rsidRPr="00580EA0">
        <w:rPr>
          <w:rFonts w:eastAsiaTheme="minorEastAsia"/>
          <w:szCs w:val="22"/>
          <w:lang w:val="en-US"/>
        </w:rPr>
        <w:t>product assessment initially without any further systematic risk-based Technical Documentation sampling</w:t>
      </w:r>
      <w:r w:rsidRPr="004A7E5E">
        <w:rPr>
          <w:rFonts w:eastAsiaTheme="minorEastAsia"/>
          <w:szCs w:val="22"/>
          <w:lang w:val="en-US"/>
        </w:rPr>
        <w:t>, even though these groups often contain more than 100 devices. Furthermore, specifically for IVDs, around 80% of products have never undergone third</w:t>
      </w:r>
      <w:r w:rsidRPr="004A7E5E">
        <w:rPr>
          <w:rFonts w:ascii="Cambria Math" w:eastAsiaTheme="minorEastAsia" w:hAnsi="Cambria Math" w:cs="Cambria Math"/>
          <w:szCs w:val="22"/>
          <w:lang w:val="en-US"/>
        </w:rPr>
        <w:t>‑</w:t>
      </w:r>
      <w:r w:rsidRPr="004A7E5E">
        <w:rPr>
          <w:rFonts w:eastAsiaTheme="minorEastAsia"/>
          <w:szCs w:val="22"/>
          <w:lang w:val="en-US"/>
        </w:rPr>
        <w:t xml:space="preserve">party assessment. </w:t>
      </w:r>
    </w:p>
    <w:p w14:paraId="1FDAFBB2" w14:textId="632CEA2B" w:rsidR="3B4BBD82" w:rsidRPr="004A7E5E" w:rsidRDefault="1E9048B2" w:rsidP="005C7A76">
      <w:pPr>
        <w:spacing w:after="0"/>
        <w:rPr>
          <w:rFonts w:eastAsia="Calibri" w:cs="Calibri"/>
          <w:szCs w:val="22"/>
          <w:lang w:val="en-US"/>
        </w:rPr>
      </w:pPr>
      <w:r w:rsidRPr="004A7E5E">
        <w:rPr>
          <w:rFonts w:eastAsiaTheme="minorEastAsia"/>
          <w:szCs w:val="22"/>
          <w:lang w:val="en-US"/>
        </w:rPr>
        <w:t xml:space="preserve">Notified </w:t>
      </w:r>
      <w:r w:rsidR="001726C6">
        <w:rPr>
          <w:rFonts w:eastAsiaTheme="minorEastAsia"/>
          <w:szCs w:val="22"/>
          <w:lang w:val="en-US"/>
        </w:rPr>
        <w:t>b</w:t>
      </w:r>
      <w:r w:rsidRPr="004A7E5E">
        <w:rPr>
          <w:rFonts w:eastAsiaTheme="minorEastAsia"/>
          <w:szCs w:val="22"/>
          <w:lang w:val="en-US"/>
        </w:rPr>
        <w:t>odies observe that many devices previously placed on the market under self</w:t>
      </w:r>
      <w:r w:rsidRPr="004A7E5E">
        <w:rPr>
          <w:rFonts w:ascii="Cambria Math" w:eastAsiaTheme="minorEastAsia" w:hAnsi="Cambria Math" w:cs="Cambria Math"/>
          <w:szCs w:val="22"/>
          <w:lang w:val="en-US"/>
        </w:rPr>
        <w:t>‑</w:t>
      </w:r>
      <w:r w:rsidRPr="004A7E5E">
        <w:rPr>
          <w:rFonts w:eastAsiaTheme="minorEastAsia"/>
          <w:szCs w:val="22"/>
          <w:lang w:val="en-US"/>
        </w:rPr>
        <w:t>certification show very poor</w:t>
      </w:r>
      <w:r w:rsidRPr="004A7E5E">
        <w:rPr>
          <w:rFonts w:ascii="Cambria Math" w:eastAsiaTheme="minorEastAsia" w:hAnsi="Cambria Math" w:cs="Cambria Math"/>
          <w:szCs w:val="22"/>
          <w:lang w:val="en-US"/>
        </w:rPr>
        <w:t>‑</w:t>
      </w:r>
      <w:r w:rsidRPr="004A7E5E">
        <w:rPr>
          <w:rFonts w:eastAsiaTheme="minorEastAsia"/>
          <w:szCs w:val="22"/>
          <w:lang w:val="en-US"/>
        </w:rPr>
        <w:t>quality technical documentation, and a significant number will not be submitted for IVDR assessment because they cannot meet the required performance and safety criteria.</w:t>
      </w:r>
      <w:r w:rsidR="00134C67">
        <w:rPr>
          <w:rFonts w:eastAsiaTheme="minorEastAsia"/>
          <w:szCs w:val="22"/>
          <w:lang w:val="en-US"/>
        </w:rPr>
        <w:t xml:space="preserve"> </w:t>
      </w:r>
    </w:p>
    <w:p w14:paraId="2F9C48AE" w14:textId="77777777" w:rsidR="005C7A76" w:rsidRDefault="005C7A76" w:rsidP="005C7A76">
      <w:pPr>
        <w:spacing w:after="0"/>
        <w:rPr>
          <w:lang w:val="en-US"/>
        </w:rPr>
      </w:pPr>
    </w:p>
    <w:p w14:paraId="39D0DE44" w14:textId="0C6591F0" w:rsidR="0081450E" w:rsidRDefault="1E9048B2" w:rsidP="005C7A76">
      <w:pPr>
        <w:spacing w:after="0"/>
        <w:rPr>
          <w:lang w:val="en-US"/>
        </w:rPr>
      </w:pPr>
      <w:r w:rsidRPr="004A7E5E">
        <w:rPr>
          <w:lang w:val="en-US"/>
        </w:rPr>
        <w:t>In this context, returning to a Directive</w:t>
      </w:r>
      <w:r w:rsidRPr="004A7E5E">
        <w:rPr>
          <w:rFonts w:ascii="Cambria Math" w:hAnsi="Cambria Math" w:cs="Cambria Math"/>
          <w:lang w:val="en-US"/>
        </w:rPr>
        <w:t>‑</w:t>
      </w:r>
      <w:r w:rsidRPr="004A7E5E">
        <w:rPr>
          <w:lang w:val="en-US"/>
        </w:rPr>
        <w:t xml:space="preserve">like structure could allow such poorly performing devices back onto the market. </w:t>
      </w:r>
    </w:p>
    <w:p w14:paraId="08016A03" w14:textId="77777777" w:rsidR="00B35541" w:rsidRDefault="00B35541" w:rsidP="005C7A76">
      <w:pPr>
        <w:spacing w:after="0"/>
        <w:rPr>
          <w:lang w:val="en-US"/>
        </w:rPr>
      </w:pPr>
    </w:p>
    <w:p w14:paraId="1846C23D" w14:textId="2B8DD9B0" w:rsidR="008B0DB3" w:rsidRDefault="00765381" w:rsidP="000153A5">
      <w:pPr>
        <w:pStyle w:val="Titre3"/>
        <w:rPr>
          <w:lang w:eastAsia="en-GB"/>
        </w:rPr>
      </w:pPr>
      <w:bookmarkStart w:id="422" w:name="_Toc226533707"/>
      <w:r w:rsidRPr="00DB65C3">
        <w:rPr>
          <w:lang w:eastAsia="en-GB"/>
        </w:rPr>
        <w:t>Notified body access to EUDAMED</w:t>
      </w:r>
      <w:r w:rsidR="00B35541">
        <w:rPr>
          <w:lang w:eastAsia="en-GB"/>
        </w:rPr>
        <w:t xml:space="preserve"> as enabler of patient safety</w:t>
      </w:r>
      <w:bookmarkEnd w:id="422"/>
    </w:p>
    <w:p w14:paraId="48CE967F" w14:textId="77777777" w:rsidR="00B35541" w:rsidRDefault="00B35541" w:rsidP="00B81D13">
      <w:pPr>
        <w:spacing w:after="0"/>
        <w:rPr>
          <w:rFonts w:asciiTheme="minorHAnsi" w:hAnsiTheme="minorHAnsi" w:cstheme="minorHAnsi"/>
          <w:lang w:eastAsia="en-GB"/>
        </w:rPr>
      </w:pPr>
      <w:r w:rsidRPr="00B35541">
        <w:rPr>
          <w:rFonts w:asciiTheme="minorHAnsi" w:hAnsiTheme="minorHAnsi" w:cstheme="minorHAnsi"/>
          <w:lang w:eastAsia="en-GB"/>
        </w:rPr>
        <w:t xml:space="preserve">Effective implementation of notified body oversight tasks under the MDR and IVDR requires </w:t>
      </w:r>
      <w:r w:rsidRPr="00B35541">
        <w:rPr>
          <w:rFonts w:asciiTheme="minorHAnsi" w:hAnsiTheme="minorHAnsi" w:cstheme="minorHAnsi"/>
          <w:b/>
          <w:bCs/>
          <w:lang w:eastAsia="en-GB"/>
        </w:rPr>
        <w:t>direct and comprehensive access to EUDAMED</w:t>
      </w:r>
      <w:r w:rsidRPr="00B35541">
        <w:rPr>
          <w:rFonts w:asciiTheme="minorHAnsi" w:hAnsiTheme="minorHAnsi" w:cstheme="minorHAnsi"/>
          <w:lang w:eastAsia="en-GB"/>
        </w:rPr>
        <w:t>, commensurate with the notified bodies’ legal responsibilities.</w:t>
      </w:r>
    </w:p>
    <w:p w14:paraId="0AC66E38" w14:textId="77777777" w:rsidR="00C667C8" w:rsidRPr="00B35541" w:rsidRDefault="00C667C8" w:rsidP="00B81D13">
      <w:pPr>
        <w:spacing w:after="0"/>
        <w:rPr>
          <w:rFonts w:asciiTheme="minorHAnsi" w:hAnsiTheme="minorHAnsi" w:cstheme="minorHAnsi"/>
          <w:lang w:eastAsia="en-GB"/>
        </w:rPr>
      </w:pPr>
    </w:p>
    <w:p w14:paraId="3870643F" w14:textId="77777777" w:rsidR="00B35541" w:rsidRDefault="00B35541" w:rsidP="00B81D13">
      <w:pPr>
        <w:spacing w:after="0"/>
        <w:rPr>
          <w:rFonts w:asciiTheme="minorHAnsi" w:hAnsiTheme="minorHAnsi" w:cstheme="minorHAnsi"/>
          <w:lang w:eastAsia="en-GB"/>
        </w:rPr>
      </w:pPr>
      <w:r w:rsidRPr="00B35541">
        <w:rPr>
          <w:rFonts w:asciiTheme="minorHAnsi" w:hAnsiTheme="minorHAnsi" w:cstheme="minorHAnsi"/>
          <w:lang w:eastAsia="en-GB"/>
        </w:rPr>
        <w:t xml:space="preserve">Under </w:t>
      </w:r>
      <w:r w:rsidRPr="00B35541">
        <w:rPr>
          <w:rFonts w:asciiTheme="minorHAnsi" w:hAnsiTheme="minorHAnsi" w:cstheme="minorHAnsi"/>
          <w:b/>
          <w:bCs/>
          <w:lang w:eastAsia="en-GB"/>
        </w:rPr>
        <w:t>Articles 83 to 86 MDR</w:t>
      </w:r>
      <w:r w:rsidRPr="00B35541">
        <w:rPr>
          <w:rFonts w:asciiTheme="minorHAnsi" w:hAnsiTheme="minorHAnsi" w:cstheme="minorHAnsi"/>
          <w:lang w:eastAsia="en-GB"/>
        </w:rPr>
        <w:t>, manufacturers are required to generate and report post</w:t>
      </w:r>
      <w:r w:rsidRPr="00B35541">
        <w:rPr>
          <w:rFonts w:asciiTheme="minorHAnsi" w:hAnsiTheme="minorHAnsi" w:cstheme="minorHAnsi"/>
          <w:lang w:eastAsia="en-GB"/>
        </w:rPr>
        <w:noBreakHyphen/>
        <w:t xml:space="preserve">market surveillance, vigilance and periodic safety update data through Union systems. </w:t>
      </w:r>
      <w:r w:rsidRPr="00B35541">
        <w:rPr>
          <w:rFonts w:asciiTheme="minorHAnsi" w:hAnsiTheme="minorHAnsi" w:cstheme="minorHAnsi"/>
          <w:b/>
          <w:bCs/>
          <w:lang w:eastAsia="en-GB"/>
        </w:rPr>
        <w:t>Annex III</w:t>
      </w:r>
      <w:r w:rsidRPr="00B35541">
        <w:rPr>
          <w:rFonts w:asciiTheme="minorHAnsi" w:hAnsiTheme="minorHAnsi" w:cstheme="minorHAnsi"/>
          <w:lang w:eastAsia="en-GB"/>
        </w:rPr>
        <w:t xml:space="preserve"> establishes that these data form an integral part of the technical documentation and are subject to notified body assessment. </w:t>
      </w:r>
      <w:r w:rsidRPr="00B35541">
        <w:rPr>
          <w:rFonts w:asciiTheme="minorHAnsi" w:hAnsiTheme="minorHAnsi" w:cstheme="minorHAnsi"/>
          <w:b/>
          <w:bCs/>
          <w:lang w:eastAsia="en-GB"/>
        </w:rPr>
        <w:t>Annex IX</w:t>
      </w:r>
      <w:r w:rsidRPr="00B35541">
        <w:rPr>
          <w:rFonts w:asciiTheme="minorHAnsi" w:hAnsiTheme="minorHAnsi" w:cstheme="minorHAnsi"/>
          <w:lang w:eastAsia="en-GB"/>
        </w:rPr>
        <w:t xml:space="preserve"> requires notified bodies to verify continued conformity through surveillance activities, including review of post</w:t>
      </w:r>
      <w:r w:rsidRPr="00B35541">
        <w:rPr>
          <w:rFonts w:asciiTheme="minorHAnsi" w:hAnsiTheme="minorHAnsi" w:cstheme="minorHAnsi"/>
          <w:lang w:eastAsia="en-GB"/>
        </w:rPr>
        <w:noBreakHyphen/>
        <w:t>market data and corrective actions.</w:t>
      </w:r>
    </w:p>
    <w:p w14:paraId="1908B10F" w14:textId="77777777" w:rsidR="00C667C8" w:rsidRPr="00B35541" w:rsidRDefault="00C667C8" w:rsidP="00B81D13">
      <w:pPr>
        <w:spacing w:after="0"/>
        <w:rPr>
          <w:rFonts w:asciiTheme="minorHAnsi" w:hAnsiTheme="minorHAnsi" w:cstheme="minorHAnsi"/>
          <w:lang w:eastAsia="en-GB"/>
        </w:rPr>
      </w:pPr>
    </w:p>
    <w:p w14:paraId="4AC2A41F" w14:textId="77777777" w:rsidR="00B35541" w:rsidRPr="00B35541" w:rsidRDefault="00B35541" w:rsidP="00B81D13">
      <w:pPr>
        <w:spacing w:after="0"/>
        <w:rPr>
          <w:rFonts w:asciiTheme="minorHAnsi" w:hAnsiTheme="minorHAnsi" w:cstheme="minorHAnsi"/>
          <w:lang w:eastAsia="en-GB"/>
        </w:rPr>
      </w:pPr>
      <w:r w:rsidRPr="00B35541">
        <w:rPr>
          <w:rFonts w:asciiTheme="minorHAnsi" w:hAnsiTheme="minorHAnsi" w:cstheme="minorHAnsi"/>
          <w:lang w:eastAsia="en-GB"/>
        </w:rPr>
        <w:t>Without adequate access to EUDAMED, notified bodies cannot effectively:</w:t>
      </w:r>
    </w:p>
    <w:p w14:paraId="281F0DEF" w14:textId="77777777" w:rsidR="00B35541" w:rsidRPr="00B35541" w:rsidRDefault="00B35541" w:rsidP="00700B94">
      <w:pPr>
        <w:numPr>
          <w:ilvl w:val="0"/>
          <w:numId w:val="58"/>
        </w:numPr>
        <w:spacing w:after="0"/>
        <w:rPr>
          <w:rFonts w:asciiTheme="minorHAnsi" w:hAnsiTheme="minorHAnsi" w:cstheme="minorHAnsi"/>
          <w:lang w:eastAsia="en-GB"/>
        </w:rPr>
      </w:pPr>
      <w:r w:rsidRPr="00B35541">
        <w:rPr>
          <w:rFonts w:asciiTheme="minorHAnsi" w:hAnsiTheme="minorHAnsi" w:cstheme="minorHAnsi"/>
          <w:lang w:eastAsia="en-GB"/>
        </w:rPr>
        <w:t>independently review vigilance reports, trend reports and PSURs,</w:t>
      </w:r>
    </w:p>
    <w:p w14:paraId="4A66470A" w14:textId="77777777" w:rsidR="00B35541" w:rsidRPr="00B35541" w:rsidRDefault="00B35541" w:rsidP="00700B94">
      <w:pPr>
        <w:numPr>
          <w:ilvl w:val="0"/>
          <w:numId w:val="58"/>
        </w:numPr>
        <w:spacing w:after="0"/>
        <w:rPr>
          <w:rFonts w:asciiTheme="minorHAnsi" w:hAnsiTheme="minorHAnsi" w:cstheme="minorHAnsi"/>
          <w:lang w:eastAsia="en-GB"/>
        </w:rPr>
      </w:pPr>
      <w:r w:rsidRPr="00B35541">
        <w:rPr>
          <w:rFonts w:asciiTheme="minorHAnsi" w:hAnsiTheme="minorHAnsi" w:cstheme="minorHAnsi"/>
          <w:lang w:eastAsia="en-GB"/>
        </w:rPr>
        <w:t>assess the completeness and consistency of manufacturers’ post</w:t>
      </w:r>
      <w:r w:rsidRPr="00B35541">
        <w:rPr>
          <w:rFonts w:asciiTheme="minorHAnsi" w:hAnsiTheme="minorHAnsi" w:cstheme="minorHAnsi"/>
          <w:lang w:eastAsia="en-GB"/>
        </w:rPr>
        <w:noBreakHyphen/>
        <w:t>market systems,</w:t>
      </w:r>
    </w:p>
    <w:p w14:paraId="50C033D5" w14:textId="77777777" w:rsidR="00B35541" w:rsidRPr="00B35541" w:rsidRDefault="00B35541" w:rsidP="00700B94">
      <w:pPr>
        <w:numPr>
          <w:ilvl w:val="0"/>
          <w:numId w:val="58"/>
        </w:numPr>
        <w:spacing w:after="0"/>
        <w:rPr>
          <w:rFonts w:asciiTheme="minorHAnsi" w:hAnsiTheme="minorHAnsi" w:cstheme="minorHAnsi"/>
          <w:lang w:eastAsia="en-GB"/>
        </w:rPr>
      </w:pPr>
      <w:r w:rsidRPr="00B35541">
        <w:rPr>
          <w:rFonts w:asciiTheme="minorHAnsi" w:hAnsiTheme="minorHAnsi" w:cstheme="minorHAnsi"/>
          <w:lang w:eastAsia="en-GB"/>
        </w:rPr>
        <w:t>detect cross</w:t>
      </w:r>
      <w:r w:rsidRPr="00B35541">
        <w:rPr>
          <w:rFonts w:asciiTheme="minorHAnsi" w:hAnsiTheme="minorHAnsi" w:cstheme="minorHAnsi"/>
          <w:lang w:eastAsia="en-GB"/>
        </w:rPr>
        <w:noBreakHyphen/>
        <w:t>manufacturer or cross</w:t>
      </w:r>
      <w:r w:rsidRPr="00B35541">
        <w:rPr>
          <w:rFonts w:asciiTheme="minorHAnsi" w:hAnsiTheme="minorHAnsi" w:cstheme="minorHAnsi"/>
          <w:lang w:eastAsia="en-GB"/>
        </w:rPr>
        <w:noBreakHyphen/>
        <w:t>border safety signals,</w:t>
      </w:r>
    </w:p>
    <w:p w14:paraId="78914D1D" w14:textId="77777777" w:rsidR="00B35541" w:rsidRPr="00B35541" w:rsidRDefault="00B35541" w:rsidP="00700B94">
      <w:pPr>
        <w:numPr>
          <w:ilvl w:val="0"/>
          <w:numId w:val="58"/>
        </w:numPr>
        <w:spacing w:after="0"/>
        <w:rPr>
          <w:rFonts w:asciiTheme="minorHAnsi" w:hAnsiTheme="minorHAnsi" w:cstheme="minorHAnsi"/>
          <w:lang w:eastAsia="en-GB"/>
        </w:rPr>
      </w:pPr>
      <w:r w:rsidRPr="00B35541">
        <w:rPr>
          <w:rFonts w:asciiTheme="minorHAnsi" w:hAnsiTheme="minorHAnsi" w:cstheme="minorHAnsi"/>
          <w:lang w:eastAsia="en-GB"/>
        </w:rPr>
        <w:t>substantiate or challenge “for</w:t>
      </w:r>
      <w:r w:rsidRPr="00B35541">
        <w:rPr>
          <w:rFonts w:asciiTheme="minorHAnsi" w:hAnsiTheme="minorHAnsi" w:cstheme="minorHAnsi"/>
          <w:lang w:eastAsia="en-GB"/>
        </w:rPr>
        <w:noBreakHyphen/>
        <w:t>cause” triggers, or</w:t>
      </w:r>
    </w:p>
    <w:p w14:paraId="79485076" w14:textId="77777777" w:rsidR="00B35541" w:rsidRDefault="00B35541" w:rsidP="00700B94">
      <w:pPr>
        <w:numPr>
          <w:ilvl w:val="0"/>
          <w:numId w:val="58"/>
        </w:numPr>
        <w:spacing w:after="0"/>
        <w:rPr>
          <w:rFonts w:asciiTheme="minorHAnsi" w:hAnsiTheme="minorHAnsi" w:cstheme="minorHAnsi"/>
          <w:lang w:eastAsia="en-GB"/>
        </w:rPr>
      </w:pPr>
      <w:r w:rsidRPr="00B35541">
        <w:rPr>
          <w:rFonts w:asciiTheme="minorHAnsi" w:hAnsiTheme="minorHAnsi" w:cstheme="minorHAnsi"/>
          <w:lang w:eastAsia="en-GB"/>
        </w:rPr>
        <w:t>conduct meaningful periodic reviews of continued conformity.</w:t>
      </w:r>
    </w:p>
    <w:p w14:paraId="4D0F4A78" w14:textId="77777777" w:rsidR="00C667C8" w:rsidRPr="00B35541" w:rsidRDefault="00C667C8" w:rsidP="00C667C8">
      <w:pPr>
        <w:spacing w:after="0"/>
        <w:ind w:left="720"/>
        <w:rPr>
          <w:rFonts w:asciiTheme="minorHAnsi" w:hAnsiTheme="minorHAnsi" w:cstheme="minorHAnsi"/>
          <w:lang w:eastAsia="en-GB"/>
        </w:rPr>
      </w:pPr>
    </w:p>
    <w:p w14:paraId="6643B3AE" w14:textId="77777777" w:rsidR="00B35541" w:rsidRPr="00B35541" w:rsidRDefault="00B35541" w:rsidP="00B81D13">
      <w:pPr>
        <w:spacing w:after="0"/>
        <w:rPr>
          <w:rFonts w:asciiTheme="minorHAnsi" w:hAnsiTheme="minorHAnsi" w:cstheme="minorHAnsi"/>
          <w:lang w:eastAsia="en-GB"/>
        </w:rPr>
      </w:pPr>
      <w:r w:rsidRPr="00B35541">
        <w:rPr>
          <w:rFonts w:asciiTheme="minorHAnsi" w:hAnsiTheme="minorHAnsi" w:cstheme="minorHAnsi"/>
          <w:lang w:eastAsia="en-GB"/>
        </w:rPr>
        <w:t xml:space="preserve">As the Commission proposal increases reliance on </w:t>
      </w:r>
      <w:r w:rsidRPr="00B35541">
        <w:rPr>
          <w:rFonts w:asciiTheme="minorHAnsi" w:hAnsiTheme="minorHAnsi" w:cstheme="minorHAnsi"/>
          <w:b/>
          <w:bCs/>
          <w:lang w:eastAsia="en-GB"/>
        </w:rPr>
        <w:t>post</w:t>
      </w:r>
      <w:r w:rsidRPr="00B35541">
        <w:rPr>
          <w:rFonts w:asciiTheme="minorHAnsi" w:hAnsiTheme="minorHAnsi" w:cstheme="minorHAnsi"/>
          <w:b/>
          <w:bCs/>
          <w:lang w:eastAsia="en-GB"/>
        </w:rPr>
        <w:noBreakHyphen/>
        <w:t>market data, for</w:t>
      </w:r>
      <w:r w:rsidRPr="00B35541">
        <w:rPr>
          <w:rFonts w:asciiTheme="minorHAnsi" w:hAnsiTheme="minorHAnsi" w:cstheme="minorHAnsi"/>
          <w:b/>
          <w:bCs/>
          <w:lang w:eastAsia="en-GB"/>
        </w:rPr>
        <w:noBreakHyphen/>
        <w:t>cause mechanisms and periodic review</w:t>
      </w:r>
      <w:r w:rsidRPr="00B35541">
        <w:rPr>
          <w:rFonts w:asciiTheme="minorHAnsi" w:hAnsiTheme="minorHAnsi" w:cstheme="minorHAnsi"/>
          <w:lang w:eastAsia="en-GB"/>
        </w:rPr>
        <w:t>, the absence of explicit legal clarification on notified body access to EUDAMED would directly undermine the preventive safeguards foreseen by the MDR.</w:t>
      </w:r>
    </w:p>
    <w:p w14:paraId="4E50FAF1" w14:textId="77777777" w:rsidR="00B35541" w:rsidRPr="00B35541" w:rsidRDefault="00B35541" w:rsidP="00B81D13">
      <w:pPr>
        <w:spacing w:after="0"/>
        <w:rPr>
          <w:rFonts w:asciiTheme="minorHAnsi" w:hAnsiTheme="minorHAnsi" w:cstheme="minorHAnsi"/>
          <w:lang w:eastAsia="en-GB"/>
        </w:rPr>
      </w:pPr>
      <w:r w:rsidRPr="00B35541">
        <w:rPr>
          <w:rFonts w:asciiTheme="minorHAnsi" w:hAnsiTheme="minorHAnsi" w:cstheme="minorHAnsi"/>
          <w:lang w:eastAsia="en-GB"/>
        </w:rPr>
        <w:t>Team</w:t>
      </w:r>
      <w:r w:rsidRPr="00B35541">
        <w:rPr>
          <w:rFonts w:asciiTheme="minorHAnsi" w:hAnsiTheme="minorHAnsi" w:cstheme="minorHAnsi"/>
          <w:lang w:eastAsia="en-GB"/>
        </w:rPr>
        <w:noBreakHyphen/>
        <w:t xml:space="preserve">NB therefore considers it essential that </w:t>
      </w:r>
      <w:r w:rsidRPr="00B35541">
        <w:rPr>
          <w:rFonts w:asciiTheme="minorHAnsi" w:hAnsiTheme="minorHAnsi" w:cstheme="minorHAnsi"/>
          <w:b/>
          <w:bCs/>
          <w:lang w:eastAsia="en-GB"/>
        </w:rPr>
        <w:t>all notified bodies designated under the MDR and IVDR have direct access to the relevant EUDAMED modules</w:t>
      </w:r>
      <w:r w:rsidRPr="00B35541">
        <w:rPr>
          <w:rFonts w:asciiTheme="minorHAnsi" w:hAnsiTheme="minorHAnsi" w:cstheme="minorHAnsi"/>
          <w:lang w:eastAsia="en-GB"/>
        </w:rPr>
        <w:t>, in line with their tasks under Articles 83–86 and Annexes III and IX. This access should be explicitly anchored in the Regulation to ensure consistent and uniform application across Member States.</w:t>
      </w:r>
    </w:p>
    <w:p w14:paraId="13B7DC80" w14:textId="77777777" w:rsidR="00B35541" w:rsidRPr="00B35541" w:rsidRDefault="00B35541" w:rsidP="00B81D13">
      <w:pPr>
        <w:spacing w:after="0"/>
        <w:rPr>
          <w:rFonts w:asciiTheme="minorHAnsi" w:hAnsiTheme="minorHAnsi" w:cstheme="minorHAnsi"/>
          <w:lang w:eastAsia="en-GB"/>
        </w:rPr>
      </w:pPr>
      <w:r w:rsidRPr="00B35541">
        <w:rPr>
          <w:rFonts w:asciiTheme="minorHAnsi" w:hAnsiTheme="minorHAnsi" w:cstheme="minorHAnsi"/>
          <w:i/>
          <w:lang w:eastAsia="en-GB"/>
        </w:rPr>
        <w:t xml:space="preserve">This concern and proposed solution are </w:t>
      </w:r>
      <w:r w:rsidRPr="00F26E61">
        <w:rPr>
          <w:rFonts w:asciiTheme="minorHAnsi" w:hAnsiTheme="minorHAnsi" w:cstheme="minorHAnsi"/>
          <w:i/>
          <w:lang w:eastAsia="en-GB"/>
        </w:rPr>
        <w:t>reflected in Table entry 37.</w:t>
      </w:r>
    </w:p>
    <w:p w14:paraId="36FC8897" w14:textId="77777777" w:rsidR="00B35541" w:rsidRPr="00B35541" w:rsidRDefault="00B35541" w:rsidP="00B81D13">
      <w:pPr>
        <w:spacing w:after="0"/>
        <w:rPr>
          <w:rFonts w:asciiTheme="minorHAnsi" w:hAnsiTheme="minorHAnsi" w:cstheme="minorHAnsi"/>
          <w:lang w:eastAsia="en-GB"/>
        </w:rPr>
      </w:pPr>
    </w:p>
    <w:p w14:paraId="69370943" w14:textId="77777777" w:rsidR="005C7A76" w:rsidRDefault="005C7A76" w:rsidP="005C7A76">
      <w:pPr>
        <w:spacing w:after="0"/>
        <w:rPr>
          <w:lang w:val="en-US"/>
        </w:rPr>
      </w:pPr>
    </w:p>
    <w:p w14:paraId="48054211" w14:textId="00EAEE9F" w:rsidR="0081450E" w:rsidRPr="004A7E5E" w:rsidRDefault="00247A32" w:rsidP="00247A32">
      <w:pPr>
        <w:pStyle w:val="Titre2"/>
      </w:pPr>
      <w:bookmarkStart w:id="423" w:name="_Toc226533708"/>
      <w:r>
        <w:lastRenderedPageBreak/>
        <w:t xml:space="preserve">Alternative solution </w:t>
      </w:r>
      <w:r w:rsidR="00C75A2F">
        <w:t>–</w:t>
      </w:r>
      <w:r w:rsidR="00D8081B">
        <w:t xml:space="preserve"> </w:t>
      </w:r>
      <w:r w:rsidR="005971A3">
        <w:t>P</w:t>
      </w:r>
      <w:r w:rsidR="00C75A2F">
        <w:t>erformance</w:t>
      </w:r>
      <w:r w:rsidR="00917EC5">
        <w:t>-based regulatory incentives</w:t>
      </w:r>
      <w:bookmarkEnd w:id="423"/>
    </w:p>
    <w:p w14:paraId="1CD9D52E" w14:textId="77777777" w:rsidR="009B2BB9" w:rsidRPr="009B2BB9" w:rsidRDefault="009B2BB9" w:rsidP="00040625">
      <w:pPr>
        <w:spacing w:after="0" w:line="300" w:lineRule="atLeast"/>
        <w:rPr>
          <w:rFonts w:asciiTheme="minorHAnsi" w:eastAsia="Times New Roman" w:hAnsiTheme="minorHAnsi" w:cstheme="minorHAnsi"/>
          <w:iCs w:val="0"/>
          <w:szCs w:val="22"/>
          <w:lang w:eastAsia="en-GB"/>
        </w:rPr>
      </w:pPr>
      <w:r w:rsidRPr="009B2BB9">
        <w:rPr>
          <w:rFonts w:asciiTheme="minorHAnsi" w:eastAsia="Times New Roman" w:hAnsiTheme="minorHAnsi" w:cstheme="minorHAnsi"/>
          <w:iCs w:val="0"/>
          <w:szCs w:val="22"/>
          <w:lang w:eastAsia="en-GB"/>
        </w:rPr>
        <w:t>Rather than reducing regulatory scrutiny across the board and relying predominantly on “for</w:t>
      </w:r>
      <w:r w:rsidRPr="009B2BB9">
        <w:rPr>
          <w:rFonts w:asciiTheme="minorHAnsi" w:eastAsia="Times New Roman" w:hAnsiTheme="minorHAnsi" w:cstheme="minorHAnsi"/>
          <w:iCs w:val="0"/>
          <w:szCs w:val="22"/>
          <w:lang w:eastAsia="en-GB"/>
        </w:rPr>
        <w:noBreakHyphen/>
        <w:t>cause” interventions once deficiencies have already materialised, Team</w:t>
      </w:r>
      <w:r w:rsidRPr="009B2BB9">
        <w:rPr>
          <w:rFonts w:asciiTheme="minorHAnsi" w:eastAsia="Times New Roman" w:hAnsiTheme="minorHAnsi" w:cstheme="minorHAnsi"/>
          <w:iCs w:val="0"/>
          <w:szCs w:val="22"/>
          <w:lang w:eastAsia="en-GB"/>
        </w:rPr>
        <w:noBreakHyphen/>
        <w:t xml:space="preserve">NB proposes an alternative model that </w:t>
      </w:r>
      <w:r w:rsidRPr="009B2BB9">
        <w:rPr>
          <w:rFonts w:asciiTheme="minorHAnsi" w:eastAsia="Times New Roman" w:hAnsiTheme="minorHAnsi" w:cstheme="minorHAnsi"/>
          <w:b/>
          <w:bCs/>
          <w:iCs w:val="0"/>
          <w:szCs w:val="22"/>
          <w:lang w:eastAsia="en-GB"/>
        </w:rPr>
        <w:t>rewards sustained regulatory compliance and high</w:t>
      </w:r>
      <w:r w:rsidRPr="009B2BB9">
        <w:rPr>
          <w:rFonts w:asciiTheme="minorHAnsi" w:eastAsia="Times New Roman" w:hAnsiTheme="minorHAnsi" w:cstheme="minorHAnsi"/>
          <w:b/>
          <w:bCs/>
          <w:iCs w:val="0"/>
          <w:szCs w:val="22"/>
          <w:lang w:eastAsia="en-GB"/>
        </w:rPr>
        <w:noBreakHyphen/>
        <w:t>quality manufacturer performance</w:t>
      </w:r>
      <w:r w:rsidRPr="009B2BB9">
        <w:rPr>
          <w:rFonts w:asciiTheme="minorHAnsi" w:eastAsia="Times New Roman" w:hAnsiTheme="minorHAnsi" w:cstheme="minorHAnsi"/>
          <w:iCs w:val="0"/>
          <w:szCs w:val="22"/>
          <w:lang w:eastAsia="en-GB"/>
        </w:rPr>
        <w:t>, while preserving robust safeguards for patient safety.</w:t>
      </w:r>
    </w:p>
    <w:p w14:paraId="6BD419B4" w14:textId="77777777" w:rsidR="009B2BB9" w:rsidRDefault="009B2BB9" w:rsidP="00040625">
      <w:pPr>
        <w:spacing w:after="0" w:line="300" w:lineRule="atLeast"/>
        <w:rPr>
          <w:rFonts w:asciiTheme="minorHAnsi" w:eastAsia="Times New Roman" w:hAnsiTheme="minorHAnsi" w:cstheme="minorHAnsi"/>
          <w:iCs w:val="0"/>
          <w:szCs w:val="22"/>
          <w:lang w:eastAsia="en-GB"/>
        </w:rPr>
      </w:pPr>
      <w:r w:rsidRPr="009B2BB9">
        <w:rPr>
          <w:rFonts w:asciiTheme="minorHAnsi" w:eastAsia="Times New Roman" w:hAnsiTheme="minorHAnsi" w:cstheme="minorHAnsi"/>
          <w:iCs w:val="0"/>
          <w:szCs w:val="22"/>
          <w:lang w:eastAsia="en-GB"/>
        </w:rPr>
        <w:t xml:space="preserve">Under the MDR and IVDR, conformity assessment and surveillance are designed to be preventive. This preventive character is most effective when regulatory effort is applied </w:t>
      </w:r>
      <w:r w:rsidRPr="009B2BB9">
        <w:rPr>
          <w:rFonts w:asciiTheme="minorHAnsi" w:eastAsia="Times New Roman" w:hAnsiTheme="minorHAnsi" w:cstheme="minorHAnsi"/>
          <w:b/>
          <w:bCs/>
          <w:iCs w:val="0"/>
          <w:szCs w:val="22"/>
          <w:lang w:eastAsia="en-GB"/>
        </w:rPr>
        <w:t>predictably and proportionately over time</w:t>
      </w:r>
      <w:r w:rsidRPr="009B2BB9">
        <w:rPr>
          <w:rFonts w:asciiTheme="minorHAnsi" w:eastAsia="Times New Roman" w:hAnsiTheme="minorHAnsi" w:cstheme="minorHAnsi"/>
          <w:iCs w:val="0"/>
          <w:szCs w:val="22"/>
          <w:lang w:eastAsia="en-GB"/>
        </w:rPr>
        <w:t>, and when manufacturers have a clear incentive to invest in strong quality management systems, robust technical documentation, and proactive post</w:t>
      </w:r>
      <w:r w:rsidRPr="009B2BB9">
        <w:rPr>
          <w:rFonts w:asciiTheme="minorHAnsi" w:eastAsia="Times New Roman" w:hAnsiTheme="minorHAnsi" w:cstheme="minorHAnsi"/>
          <w:iCs w:val="0"/>
          <w:szCs w:val="22"/>
          <w:lang w:eastAsia="en-GB"/>
        </w:rPr>
        <w:noBreakHyphen/>
        <w:t>market surveillance.</w:t>
      </w:r>
    </w:p>
    <w:p w14:paraId="4F046945" w14:textId="77777777" w:rsidR="001D4BE4" w:rsidRPr="009B2BB9" w:rsidRDefault="001D4BE4" w:rsidP="00040625">
      <w:pPr>
        <w:spacing w:after="0" w:line="300" w:lineRule="atLeast"/>
        <w:rPr>
          <w:rFonts w:asciiTheme="minorHAnsi" w:eastAsia="Times New Roman" w:hAnsiTheme="minorHAnsi" w:cstheme="minorHAnsi"/>
          <w:iCs w:val="0"/>
          <w:szCs w:val="22"/>
          <w:lang w:eastAsia="en-GB"/>
        </w:rPr>
      </w:pPr>
    </w:p>
    <w:p w14:paraId="42EAFFFB" w14:textId="22E82702" w:rsidR="009B2BB9" w:rsidRPr="009B2BB9" w:rsidRDefault="009B2BB9" w:rsidP="000153A5">
      <w:pPr>
        <w:pStyle w:val="Titre3"/>
        <w:rPr>
          <w:lang w:eastAsia="en-GB"/>
        </w:rPr>
      </w:pPr>
      <w:bookmarkStart w:id="424" w:name="_Toc226533709"/>
      <w:r w:rsidRPr="009B2BB9">
        <w:rPr>
          <w:lang w:eastAsia="en-GB"/>
        </w:rPr>
        <w:t>Rewarding good compliance rather than reacting to failures</w:t>
      </w:r>
      <w:bookmarkEnd w:id="424"/>
    </w:p>
    <w:p w14:paraId="4C6B281C" w14:textId="04190CA3" w:rsidR="009B2BB9" w:rsidRPr="009B2BB9" w:rsidRDefault="009B2BB9" w:rsidP="00040625">
      <w:pPr>
        <w:spacing w:after="0" w:line="300" w:lineRule="atLeast"/>
        <w:rPr>
          <w:rFonts w:asciiTheme="minorHAnsi" w:eastAsia="Times New Roman" w:hAnsiTheme="minorHAnsi" w:cstheme="minorHAnsi"/>
          <w:iCs w:val="0"/>
          <w:szCs w:val="22"/>
          <w:lang w:eastAsia="en-GB"/>
        </w:rPr>
      </w:pPr>
      <w:r w:rsidRPr="009B2BB9">
        <w:rPr>
          <w:rFonts w:asciiTheme="minorHAnsi" w:eastAsia="Times New Roman" w:hAnsiTheme="minorHAnsi" w:cstheme="minorHAnsi"/>
          <w:iCs w:val="0"/>
          <w:szCs w:val="22"/>
          <w:lang w:eastAsia="en-GB"/>
        </w:rPr>
        <w:t>Instead of lowering the overall level of scrutiny, Team</w:t>
      </w:r>
      <w:r w:rsidRPr="009B2BB9">
        <w:rPr>
          <w:rFonts w:asciiTheme="minorHAnsi" w:eastAsia="Times New Roman" w:hAnsiTheme="minorHAnsi" w:cstheme="minorHAnsi"/>
          <w:iCs w:val="0"/>
          <w:szCs w:val="22"/>
          <w:lang w:eastAsia="en-GB"/>
        </w:rPr>
        <w:noBreakHyphen/>
        <w:t xml:space="preserve">NB proposes that </w:t>
      </w:r>
      <w:r w:rsidRPr="009B2BB9">
        <w:rPr>
          <w:rFonts w:asciiTheme="minorHAnsi" w:eastAsia="Times New Roman" w:hAnsiTheme="minorHAnsi" w:cstheme="minorHAnsi"/>
          <w:b/>
          <w:bCs/>
          <w:iCs w:val="0"/>
          <w:szCs w:val="22"/>
          <w:lang w:eastAsia="en-GB"/>
        </w:rPr>
        <w:t>reduced regulatory intensity should be earned</w:t>
      </w:r>
      <w:r w:rsidRPr="009B2BB9">
        <w:rPr>
          <w:rFonts w:asciiTheme="minorHAnsi" w:eastAsia="Times New Roman" w:hAnsiTheme="minorHAnsi" w:cstheme="minorHAnsi"/>
          <w:iCs w:val="0"/>
          <w:szCs w:val="22"/>
          <w:lang w:eastAsia="en-GB"/>
        </w:rPr>
        <w:t xml:space="preserve">, not assumed. A meaningful incentive could be introduced once a manufacturer has successfully completed </w:t>
      </w:r>
      <w:r w:rsidR="000D6110">
        <w:rPr>
          <w:rFonts w:asciiTheme="minorHAnsi" w:eastAsia="Times New Roman" w:hAnsiTheme="minorHAnsi" w:cstheme="minorHAnsi"/>
          <w:b/>
          <w:bCs/>
          <w:iCs w:val="0"/>
          <w:szCs w:val="22"/>
          <w:lang w:eastAsia="en-GB"/>
        </w:rPr>
        <w:t>two periodic review</w:t>
      </w:r>
      <w:r w:rsidR="00931F3D">
        <w:rPr>
          <w:rFonts w:asciiTheme="minorHAnsi" w:eastAsia="Times New Roman" w:hAnsiTheme="minorHAnsi" w:cstheme="minorHAnsi"/>
          <w:b/>
          <w:bCs/>
          <w:iCs w:val="0"/>
          <w:szCs w:val="22"/>
          <w:lang w:eastAsia="en-GB"/>
        </w:rPr>
        <w:t>s</w:t>
      </w:r>
      <w:r w:rsidRPr="009B2BB9">
        <w:rPr>
          <w:rFonts w:asciiTheme="minorHAnsi" w:eastAsia="Times New Roman" w:hAnsiTheme="minorHAnsi" w:cstheme="minorHAnsi"/>
          <w:b/>
          <w:bCs/>
          <w:iCs w:val="0"/>
          <w:szCs w:val="22"/>
          <w:lang w:eastAsia="en-GB"/>
        </w:rPr>
        <w:t xml:space="preserve"> (e.g. </w:t>
      </w:r>
      <w:r w:rsidR="00931F3D">
        <w:rPr>
          <w:rFonts w:asciiTheme="minorHAnsi" w:eastAsia="Times New Roman" w:hAnsiTheme="minorHAnsi" w:cstheme="minorHAnsi"/>
          <w:b/>
          <w:bCs/>
          <w:iCs w:val="0"/>
          <w:szCs w:val="22"/>
          <w:lang w:eastAsia="en-GB"/>
        </w:rPr>
        <w:t xml:space="preserve">six </w:t>
      </w:r>
      <w:r w:rsidRPr="009B2BB9">
        <w:rPr>
          <w:rFonts w:asciiTheme="minorHAnsi" w:eastAsia="Times New Roman" w:hAnsiTheme="minorHAnsi" w:cstheme="minorHAnsi"/>
          <w:b/>
          <w:bCs/>
          <w:iCs w:val="0"/>
          <w:szCs w:val="22"/>
          <w:lang w:eastAsia="en-GB"/>
        </w:rPr>
        <w:t>years)</w:t>
      </w:r>
      <w:r w:rsidRPr="009B2BB9">
        <w:rPr>
          <w:rFonts w:asciiTheme="minorHAnsi" w:eastAsia="Times New Roman" w:hAnsiTheme="minorHAnsi" w:cstheme="minorHAnsi"/>
          <w:iCs w:val="0"/>
          <w:szCs w:val="22"/>
          <w:lang w:eastAsia="en-GB"/>
        </w:rPr>
        <w:t xml:space="preserve"> under the MDR or IVDR, without major non</w:t>
      </w:r>
      <w:r w:rsidRPr="009B2BB9">
        <w:rPr>
          <w:rFonts w:asciiTheme="minorHAnsi" w:eastAsia="Times New Roman" w:hAnsiTheme="minorHAnsi" w:cstheme="minorHAnsi"/>
          <w:iCs w:val="0"/>
          <w:szCs w:val="22"/>
          <w:lang w:eastAsia="en-GB"/>
        </w:rPr>
        <w:noBreakHyphen/>
        <w:t>conformities, significant unresolved CAPAs, or repeated safety</w:t>
      </w:r>
      <w:r w:rsidRPr="009B2BB9">
        <w:rPr>
          <w:rFonts w:asciiTheme="minorHAnsi" w:eastAsia="Times New Roman" w:hAnsiTheme="minorHAnsi" w:cstheme="minorHAnsi"/>
          <w:iCs w:val="0"/>
          <w:szCs w:val="22"/>
          <w:lang w:eastAsia="en-GB"/>
        </w:rPr>
        <w:noBreakHyphen/>
        <w:t>related findings.</w:t>
      </w:r>
    </w:p>
    <w:p w14:paraId="45EE918A" w14:textId="77777777" w:rsidR="009B2BB9" w:rsidRPr="009B2BB9" w:rsidRDefault="009B2BB9" w:rsidP="00040625">
      <w:pPr>
        <w:spacing w:after="0" w:line="300" w:lineRule="atLeast"/>
        <w:rPr>
          <w:rFonts w:asciiTheme="minorHAnsi" w:eastAsia="Times New Roman" w:hAnsiTheme="minorHAnsi" w:cstheme="minorHAnsi"/>
          <w:iCs w:val="0"/>
          <w:szCs w:val="22"/>
          <w:lang w:eastAsia="en-GB"/>
        </w:rPr>
      </w:pPr>
      <w:r w:rsidRPr="009B2BB9">
        <w:rPr>
          <w:rFonts w:asciiTheme="minorHAnsi" w:eastAsia="Times New Roman" w:hAnsiTheme="minorHAnsi" w:cstheme="minorHAnsi"/>
          <w:iCs w:val="0"/>
          <w:szCs w:val="22"/>
          <w:lang w:eastAsia="en-GB"/>
        </w:rPr>
        <w:t xml:space="preserve">For such manufacturers and devices, a </w:t>
      </w:r>
      <w:r w:rsidRPr="009B2BB9">
        <w:rPr>
          <w:rFonts w:asciiTheme="minorHAnsi" w:eastAsia="Times New Roman" w:hAnsiTheme="minorHAnsi" w:cstheme="minorHAnsi"/>
          <w:b/>
          <w:bCs/>
          <w:iCs w:val="0"/>
          <w:szCs w:val="22"/>
          <w:lang w:eastAsia="en-GB"/>
        </w:rPr>
        <w:t>proportionately reduced surveillance intensity</w:t>
      </w:r>
      <w:r w:rsidRPr="009B2BB9">
        <w:rPr>
          <w:rFonts w:asciiTheme="minorHAnsi" w:eastAsia="Times New Roman" w:hAnsiTheme="minorHAnsi" w:cstheme="minorHAnsi"/>
          <w:iCs w:val="0"/>
          <w:szCs w:val="22"/>
          <w:lang w:eastAsia="en-GB"/>
        </w:rPr>
        <w:t xml:space="preserve"> may be justified, for example through:</w:t>
      </w:r>
    </w:p>
    <w:p w14:paraId="6C522D07" w14:textId="77777777" w:rsidR="009B2BB9" w:rsidRPr="009B2BB9" w:rsidRDefault="009B2BB9" w:rsidP="00700B94">
      <w:pPr>
        <w:numPr>
          <w:ilvl w:val="0"/>
          <w:numId w:val="51"/>
        </w:numPr>
        <w:spacing w:after="0" w:line="300" w:lineRule="atLeast"/>
        <w:rPr>
          <w:rFonts w:asciiTheme="minorHAnsi" w:eastAsia="Times New Roman" w:hAnsiTheme="minorHAnsi" w:cstheme="minorHAnsi"/>
          <w:iCs w:val="0"/>
          <w:szCs w:val="22"/>
          <w:lang w:eastAsia="en-GB"/>
        </w:rPr>
      </w:pPr>
      <w:r w:rsidRPr="009B2BB9">
        <w:rPr>
          <w:rFonts w:asciiTheme="minorHAnsi" w:eastAsia="Times New Roman" w:hAnsiTheme="minorHAnsi" w:cstheme="minorHAnsi"/>
          <w:iCs w:val="0"/>
          <w:szCs w:val="22"/>
          <w:lang w:eastAsia="en-GB"/>
        </w:rPr>
        <w:t>streamlined sampling approaches,</w:t>
      </w:r>
    </w:p>
    <w:p w14:paraId="279653D7" w14:textId="77777777" w:rsidR="009B2BB9" w:rsidRPr="009B2BB9" w:rsidRDefault="009B2BB9" w:rsidP="00700B94">
      <w:pPr>
        <w:numPr>
          <w:ilvl w:val="0"/>
          <w:numId w:val="51"/>
        </w:numPr>
        <w:spacing w:after="0" w:line="300" w:lineRule="atLeast"/>
        <w:rPr>
          <w:rFonts w:asciiTheme="minorHAnsi" w:eastAsia="Times New Roman" w:hAnsiTheme="minorHAnsi" w:cstheme="minorHAnsi"/>
          <w:iCs w:val="0"/>
          <w:szCs w:val="22"/>
          <w:lang w:eastAsia="en-GB"/>
        </w:rPr>
      </w:pPr>
      <w:r w:rsidRPr="009B2BB9">
        <w:rPr>
          <w:rFonts w:asciiTheme="minorHAnsi" w:eastAsia="Times New Roman" w:hAnsiTheme="minorHAnsi" w:cstheme="minorHAnsi"/>
          <w:iCs w:val="0"/>
          <w:szCs w:val="22"/>
          <w:lang w:eastAsia="en-GB"/>
        </w:rPr>
        <w:t>reduced frequency of certain routine assessments, or</w:t>
      </w:r>
    </w:p>
    <w:p w14:paraId="4D1B20F8" w14:textId="77777777" w:rsidR="009B2BB9" w:rsidRPr="009B2BB9" w:rsidRDefault="009B2BB9" w:rsidP="00700B94">
      <w:pPr>
        <w:numPr>
          <w:ilvl w:val="0"/>
          <w:numId w:val="51"/>
        </w:numPr>
        <w:spacing w:after="0" w:line="300" w:lineRule="atLeast"/>
        <w:rPr>
          <w:rFonts w:asciiTheme="minorHAnsi" w:eastAsia="Times New Roman" w:hAnsiTheme="minorHAnsi" w:cstheme="minorHAnsi"/>
          <w:iCs w:val="0"/>
          <w:szCs w:val="22"/>
          <w:lang w:eastAsia="en-GB"/>
        </w:rPr>
      </w:pPr>
      <w:r w:rsidRPr="009B2BB9">
        <w:rPr>
          <w:rFonts w:asciiTheme="minorHAnsi" w:eastAsia="Times New Roman" w:hAnsiTheme="minorHAnsi" w:cstheme="minorHAnsi"/>
          <w:iCs w:val="0"/>
          <w:szCs w:val="22"/>
          <w:lang w:eastAsia="en-GB"/>
        </w:rPr>
        <w:t>increased reliance on desk</w:t>
      </w:r>
      <w:r w:rsidRPr="009B2BB9">
        <w:rPr>
          <w:rFonts w:asciiTheme="minorHAnsi" w:eastAsia="Times New Roman" w:hAnsiTheme="minorHAnsi" w:cstheme="minorHAnsi"/>
          <w:iCs w:val="0"/>
          <w:szCs w:val="22"/>
          <w:lang w:eastAsia="en-GB"/>
        </w:rPr>
        <w:noBreakHyphen/>
        <w:t>based or remote activities.</w:t>
      </w:r>
    </w:p>
    <w:p w14:paraId="24CC96F9" w14:textId="77777777" w:rsidR="009B2BB9" w:rsidRDefault="009B2BB9" w:rsidP="00040625">
      <w:pPr>
        <w:spacing w:after="0" w:line="300" w:lineRule="atLeast"/>
        <w:rPr>
          <w:rFonts w:asciiTheme="minorHAnsi" w:eastAsia="Times New Roman" w:hAnsiTheme="minorHAnsi" w:cstheme="minorHAnsi"/>
          <w:iCs w:val="0"/>
          <w:szCs w:val="22"/>
          <w:lang w:eastAsia="en-GB"/>
        </w:rPr>
      </w:pPr>
      <w:r w:rsidRPr="009B2BB9">
        <w:rPr>
          <w:rFonts w:asciiTheme="minorHAnsi" w:eastAsia="Times New Roman" w:hAnsiTheme="minorHAnsi" w:cstheme="minorHAnsi"/>
          <w:iCs w:val="0"/>
          <w:szCs w:val="22"/>
          <w:lang w:eastAsia="en-GB"/>
        </w:rPr>
        <w:t xml:space="preserve">This approach would </w:t>
      </w:r>
      <w:r w:rsidRPr="009B2BB9">
        <w:rPr>
          <w:rFonts w:asciiTheme="minorHAnsi" w:eastAsia="Times New Roman" w:hAnsiTheme="minorHAnsi" w:cstheme="minorHAnsi"/>
          <w:b/>
          <w:bCs/>
          <w:iCs w:val="0"/>
          <w:szCs w:val="22"/>
          <w:lang w:eastAsia="en-GB"/>
        </w:rPr>
        <w:t>reward good regulatory behaviour</w:t>
      </w:r>
      <w:r w:rsidRPr="009B2BB9">
        <w:rPr>
          <w:rFonts w:asciiTheme="minorHAnsi" w:eastAsia="Times New Roman" w:hAnsiTheme="minorHAnsi" w:cstheme="minorHAnsi"/>
          <w:iCs w:val="0"/>
          <w:szCs w:val="22"/>
          <w:lang w:eastAsia="en-GB"/>
        </w:rPr>
        <w:t>, strengthen trust in high</w:t>
      </w:r>
      <w:r w:rsidRPr="009B2BB9">
        <w:rPr>
          <w:rFonts w:asciiTheme="minorHAnsi" w:eastAsia="Times New Roman" w:hAnsiTheme="minorHAnsi" w:cstheme="minorHAnsi"/>
          <w:iCs w:val="0"/>
          <w:szCs w:val="22"/>
          <w:lang w:eastAsia="en-GB"/>
        </w:rPr>
        <w:noBreakHyphen/>
        <w:t>performing manufacturers, and encourage early and continuous investment in compliance, rather than incentivising a minimum</w:t>
      </w:r>
      <w:r w:rsidRPr="009B2BB9">
        <w:rPr>
          <w:rFonts w:asciiTheme="minorHAnsi" w:eastAsia="Times New Roman" w:hAnsiTheme="minorHAnsi" w:cstheme="minorHAnsi"/>
          <w:iCs w:val="0"/>
          <w:szCs w:val="22"/>
          <w:lang w:eastAsia="en-GB"/>
        </w:rPr>
        <w:noBreakHyphen/>
        <w:t>effort approach followed by reactive corrections.</w:t>
      </w:r>
    </w:p>
    <w:p w14:paraId="05D2FCBD" w14:textId="77777777" w:rsidR="00E81454" w:rsidRPr="009B2BB9" w:rsidRDefault="00E81454" w:rsidP="00040625">
      <w:pPr>
        <w:spacing w:after="0" w:line="300" w:lineRule="atLeast"/>
        <w:rPr>
          <w:rFonts w:asciiTheme="minorHAnsi" w:eastAsia="Times New Roman" w:hAnsiTheme="minorHAnsi" w:cstheme="minorHAnsi"/>
          <w:iCs w:val="0"/>
          <w:szCs w:val="22"/>
          <w:lang w:eastAsia="en-GB"/>
        </w:rPr>
      </w:pPr>
    </w:p>
    <w:p w14:paraId="57C88FDE" w14:textId="7712E3BD" w:rsidR="009B2BB9" w:rsidRDefault="009B2BB9" w:rsidP="000153A5">
      <w:pPr>
        <w:pStyle w:val="Titre3"/>
        <w:rPr>
          <w:lang w:eastAsia="en-GB"/>
        </w:rPr>
      </w:pPr>
      <w:bookmarkStart w:id="425" w:name="_Toc226533710"/>
      <w:r w:rsidRPr="00E81454">
        <w:rPr>
          <w:lang w:eastAsia="en-GB"/>
        </w:rPr>
        <w:t>Early lifecycle focus: where most issues arise</w:t>
      </w:r>
      <w:bookmarkEnd w:id="425"/>
    </w:p>
    <w:p w14:paraId="00AD429A" w14:textId="4CAC1389" w:rsidR="001E405F" w:rsidRPr="00E81454" w:rsidRDefault="001E405F" w:rsidP="00571CDB">
      <w:pPr>
        <w:pStyle w:val="Paragraphedeliste"/>
        <w:spacing w:after="0" w:line="300" w:lineRule="atLeast"/>
        <w:ind w:left="862"/>
        <w:outlineLvl w:val="2"/>
        <w:rPr>
          <w:rFonts w:asciiTheme="minorHAnsi" w:eastAsia="Times New Roman" w:hAnsiTheme="minorHAnsi" w:cstheme="minorHAnsi"/>
          <w:b/>
          <w:bCs/>
          <w:iCs w:val="0"/>
          <w:szCs w:val="22"/>
          <w:lang w:eastAsia="en-GB"/>
        </w:rPr>
      </w:pPr>
    </w:p>
    <w:p w14:paraId="44442771" w14:textId="780C4894" w:rsidR="009B2BB9" w:rsidRPr="009B2BB9" w:rsidRDefault="009B2BB9" w:rsidP="00040625">
      <w:pPr>
        <w:spacing w:after="0" w:line="300" w:lineRule="atLeast"/>
        <w:rPr>
          <w:rFonts w:asciiTheme="minorHAnsi" w:eastAsia="Times New Roman" w:hAnsiTheme="minorHAnsi" w:cstheme="minorHAnsi"/>
          <w:iCs w:val="0"/>
          <w:szCs w:val="22"/>
          <w:lang w:eastAsia="en-GB"/>
        </w:rPr>
      </w:pPr>
      <w:r w:rsidRPr="009B2BB9">
        <w:rPr>
          <w:rFonts w:asciiTheme="minorHAnsi" w:eastAsia="Times New Roman" w:hAnsiTheme="minorHAnsi" w:cstheme="minorHAnsi"/>
          <w:iCs w:val="0"/>
          <w:szCs w:val="22"/>
          <w:lang w:eastAsia="en-GB"/>
        </w:rPr>
        <w:t xml:space="preserve">Experience from notified bodies shows that the </w:t>
      </w:r>
      <w:r w:rsidRPr="009B2BB9">
        <w:rPr>
          <w:rFonts w:asciiTheme="minorHAnsi" w:eastAsia="Times New Roman" w:hAnsiTheme="minorHAnsi" w:cstheme="minorHAnsi"/>
          <w:b/>
          <w:bCs/>
          <w:iCs w:val="0"/>
          <w:szCs w:val="22"/>
          <w:lang w:eastAsia="en-GB"/>
        </w:rPr>
        <w:t>“childhood diseases” of medical devices</w:t>
      </w:r>
      <w:r w:rsidRPr="009B2BB9">
        <w:rPr>
          <w:rFonts w:asciiTheme="minorHAnsi" w:eastAsia="Times New Roman" w:hAnsiTheme="minorHAnsi" w:cstheme="minorHAnsi"/>
          <w:iCs w:val="0"/>
          <w:szCs w:val="22"/>
          <w:lang w:eastAsia="en-GB"/>
        </w:rPr>
        <w:t xml:space="preserve"> typically become apparent during the</w:t>
      </w:r>
      <w:r w:rsidR="00DF0D0E" w:rsidRPr="00DF0D0E">
        <w:rPr>
          <w:rFonts w:asciiTheme="minorHAnsi" w:eastAsia="Times New Roman" w:hAnsiTheme="minorHAnsi" w:cstheme="minorHAnsi"/>
          <w:b/>
          <w:bCs/>
          <w:iCs w:val="0"/>
          <w:szCs w:val="22"/>
          <w:lang w:eastAsia="en-GB"/>
        </w:rPr>
        <w:t xml:space="preserve"> initial phase following market entry and the first periodic review cycles</w:t>
      </w:r>
      <w:r w:rsidRPr="009B2BB9">
        <w:rPr>
          <w:rFonts w:asciiTheme="minorHAnsi" w:eastAsia="Times New Roman" w:hAnsiTheme="minorHAnsi" w:cstheme="minorHAnsi"/>
          <w:iCs w:val="0"/>
          <w:szCs w:val="22"/>
          <w:lang w:eastAsia="en-GB"/>
        </w:rPr>
        <w:t>, either through design maturity issues, initial market feedback, or early post</w:t>
      </w:r>
      <w:r w:rsidRPr="009B2BB9">
        <w:rPr>
          <w:rFonts w:asciiTheme="minorHAnsi" w:eastAsia="Times New Roman" w:hAnsiTheme="minorHAnsi" w:cstheme="minorHAnsi"/>
          <w:iCs w:val="0"/>
          <w:szCs w:val="22"/>
          <w:lang w:eastAsia="en-GB"/>
        </w:rPr>
        <w:noBreakHyphen/>
        <w:t>market surveillance data. Strong scrutiny during this initial phase is therefore essential and should not be diluted.</w:t>
      </w:r>
    </w:p>
    <w:p w14:paraId="05A9F432" w14:textId="59CCFE5A" w:rsidR="009B2BB9" w:rsidRPr="009B2BB9" w:rsidRDefault="009B2BB9" w:rsidP="00040625">
      <w:pPr>
        <w:spacing w:after="0" w:line="300" w:lineRule="atLeast"/>
        <w:rPr>
          <w:rFonts w:asciiTheme="minorHAnsi" w:eastAsia="Times New Roman" w:hAnsiTheme="minorHAnsi" w:cstheme="minorHAnsi"/>
          <w:iCs w:val="0"/>
          <w:szCs w:val="22"/>
          <w:lang w:eastAsia="en-GB"/>
        </w:rPr>
      </w:pPr>
      <w:r w:rsidRPr="009B2BB9">
        <w:rPr>
          <w:rFonts w:asciiTheme="minorHAnsi" w:eastAsia="Times New Roman" w:hAnsiTheme="minorHAnsi" w:cstheme="minorHAnsi"/>
          <w:iCs w:val="0"/>
          <w:szCs w:val="22"/>
          <w:lang w:eastAsia="en-GB"/>
        </w:rPr>
        <w:t xml:space="preserve">Maintaining comprehensive oversight during </w:t>
      </w:r>
      <w:r w:rsidR="008979F7" w:rsidRPr="00267EE5">
        <w:rPr>
          <w:rFonts w:asciiTheme="minorHAnsi" w:eastAsia="Times New Roman" w:hAnsiTheme="minorHAnsi" w:cstheme="minorHAnsi"/>
          <w:iCs w:val="0"/>
          <w:szCs w:val="22"/>
          <w:lang w:eastAsia="en-GB"/>
        </w:rPr>
        <w:t>the first periodic review cycles</w:t>
      </w:r>
      <w:r w:rsidRPr="009B2BB9">
        <w:rPr>
          <w:rFonts w:asciiTheme="minorHAnsi" w:eastAsia="Times New Roman" w:hAnsiTheme="minorHAnsi" w:cstheme="minorHAnsi"/>
          <w:iCs w:val="0"/>
          <w:szCs w:val="22"/>
          <w:lang w:eastAsia="en-GB"/>
        </w:rPr>
        <w:t xml:space="preserve"> allows:</w:t>
      </w:r>
    </w:p>
    <w:p w14:paraId="6409C2FB" w14:textId="77777777" w:rsidR="009B2BB9" w:rsidRPr="009B2BB9" w:rsidRDefault="009B2BB9" w:rsidP="00700B94">
      <w:pPr>
        <w:numPr>
          <w:ilvl w:val="0"/>
          <w:numId w:val="52"/>
        </w:numPr>
        <w:spacing w:after="0" w:line="300" w:lineRule="atLeast"/>
        <w:rPr>
          <w:rFonts w:asciiTheme="minorHAnsi" w:eastAsia="Times New Roman" w:hAnsiTheme="minorHAnsi" w:cstheme="minorHAnsi"/>
          <w:iCs w:val="0"/>
          <w:szCs w:val="22"/>
          <w:lang w:eastAsia="en-GB"/>
        </w:rPr>
      </w:pPr>
      <w:r w:rsidRPr="009B2BB9">
        <w:rPr>
          <w:rFonts w:asciiTheme="minorHAnsi" w:eastAsia="Times New Roman" w:hAnsiTheme="minorHAnsi" w:cstheme="minorHAnsi"/>
          <w:iCs w:val="0"/>
          <w:szCs w:val="22"/>
          <w:lang w:eastAsia="en-GB"/>
        </w:rPr>
        <w:t>early identification of design or usability weaknesses,</w:t>
      </w:r>
    </w:p>
    <w:p w14:paraId="658A0673" w14:textId="77777777" w:rsidR="009B2BB9" w:rsidRPr="009B2BB9" w:rsidRDefault="009B2BB9" w:rsidP="00700B94">
      <w:pPr>
        <w:numPr>
          <w:ilvl w:val="0"/>
          <w:numId w:val="52"/>
        </w:numPr>
        <w:spacing w:after="0" w:line="300" w:lineRule="atLeast"/>
        <w:rPr>
          <w:rFonts w:asciiTheme="minorHAnsi" w:eastAsia="Times New Roman" w:hAnsiTheme="minorHAnsi" w:cstheme="minorHAnsi"/>
          <w:iCs w:val="0"/>
          <w:szCs w:val="22"/>
          <w:lang w:eastAsia="en-GB"/>
        </w:rPr>
      </w:pPr>
      <w:r w:rsidRPr="009B2BB9">
        <w:rPr>
          <w:rFonts w:asciiTheme="minorHAnsi" w:eastAsia="Times New Roman" w:hAnsiTheme="minorHAnsi" w:cstheme="minorHAnsi"/>
          <w:iCs w:val="0"/>
          <w:szCs w:val="22"/>
          <w:lang w:eastAsia="en-GB"/>
        </w:rPr>
        <w:t>validation of clinical assumptions in real</w:t>
      </w:r>
      <w:r w:rsidRPr="009B2BB9">
        <w:rPr>
          <w:rFonts w:asciiTheme="minorHAnsi" w:eastAsia="Times New Roman" w:hAnsiTheme="minorHAnsi" w:cstheme="minorHAnsi"/>
          <w:iCs w:val="0"/>
          <w:szCs w:val="22"/>
          <w:lang w:eastAsia="en-GB"/>
        </w:rPr>
        <w:noBreakHyphen/>
        <w:t>world use, and</w:t>
      </w:r>
    </w:p>
    <w:p w14:paraId="7B265FDC" w14:textId="77777777" w:rsidR="009B2BB9" w:rsidRPr="009B2BB9" w:rsidRDefault="009B2BB9" w:rsidP="00700B94">
      <w:pPr>
        <w:numPr>
          <w:ilvl w:val="0"/>
          <w:numId w:val="52"/>
        </w:numPr>
        <w:spacing w:after="0" w:line="300" w:lineRule="atLeast"/>
        <w:rPr>
          <w:rFonts w:asciiTheme="minorHAnsi" w:eastAsia="Times New Roman" w:hAnsiTheme="minorHAnsi" w:cstheme="minorHAnsi"/>
          <w:iCs w:val="0"/>
          <w:szCs w:val="22"/>
          <w:lang w:eastAsia="en-GB"/>
        </w:rPr>
      </w:pPr>
      <w:r w:rsidRPr="009B2BB9">
        <w:rPr>
          <w:rFonts w:asciiTheme="minorHAnsi" w:eastAsia="Times New Roman" w:hAnsiTheme="minorHAnsi" w:cstheme="minorHAnsi"/>
          <w:iCs w:val="0"/>
          <w:szCs w:val="22"/>
          <w:lang w:eastAsia="en-GB"/>
        </w:rPr>
        <w:t>timely corrective action before large</w:t>
      </w:r>
      <w:r w:rsidRPr="009B2BB9">
        <w:rPr>
          <w:rFonts w:asciiTheme="minorHAnsi" w:eastAsia="Times New Roman" w:hAnsiTheme="minorHAnsi" w:cstheme="minorHAnsi"/>
          <w:iCs w:val="0"/>
          <w:szCs w:val="22"/>
          <w:lang w:eastAsia="en-GB"/>
        </w:rPr>
        <w:noBreakHyphen/>
        <w:t>scale exposure.</w:t>
      </w:r>
    </w:p>
    <w:p w14:paraId="0A388551" w14:textId="34CCCA34" w:rsidR="009B2BB9" w:rsidRDefault="009B2BB9" w:rsidP="00040625">
      <w:pPr>
        <w:spacing w:after="0" w:line="300" w:lineRule="atLeast"/>
        <w:rPr>
          <w:rFonts w:asciiTheme="minorHAnsi" w:eastAsia="Times New Roman" w:hAnsiTheme="minorHAnsi" w:cstheme="minorHAnsi"/>
          <w:iCs w:val="0"/>
          <w:szCs w:val="22"/>
          <w:lang w:eastAsia="en-GB"/>
        </w:rPr>
      </w:pPr>
      <w:r w:rsidRPr="009B2BB9">
        <w:rPr>
          <w:rFonts w:asciiTheme="minorHAnsi" w:eastAsia="Times New Roman" w:hAnsiTheme="minorHAnsi" w:cstheme="minorHAnsi"/>
          <w:iCs w:val="0"/>
          <w:szCs w:val="22"/>
          <w:lang w:eastAsia="en-GB"/>
        </w:rPr>
        <w:t>Only once this early lifecycle phase has been successfully completed</w:t>
      </w:r>
      <w:r w:rsidR="00203E5E">
        <w:rPr>
          <w:rFonts w:asciiTheme="minorHAnsi" w:eastAsia="Times New Roman" w:hAnsiTheme="minorHAnsi" w:cstheme="minorHAnsi"/>
          <w:iCs w:val="0"/>
          <w:szCs w:val="22"/>
          <w:lang w:eastAsia="en-GB"/>
        </w:rPr>
        <w:t xml:space="preserve"> </w:t>
      </w:r>
      <w:r w:rsidR="00203E5E" w:rsidRPr="00203E5E">
        <w:rPr>
          <w:rFonts w:asciiTheme="minorHAnsi" w:eastAsia="Times New Roman" w:hAnsiTheme="minorHAnsi" w:cstheme="minorHAnsi"/>
          <w:iCs w:val="0"/>
          <w:szCs w:val="22"/>
          <w:lang w:eastAsia="en-GB"/>
        </w:rPr>
        <w:t xml:space="preserve">through </w:t>
      </w:r>
      <w:r w:rsidR="00203E5E" w:rsidRPr="00203E5E">
        <w:rPr>
          <w:rFonts w:asciiTheme="minorHAnsi" w:eastAsia="Times New Roman" w:hAnsiTheme="minorHAnsi" w:cstheme="minorHAnsi"/>
          <w:b/>
          <w:bCs/>
          <w:iCs w:val="0"/>
          <w:szCs w:val="22"/>
          <w:lang w:eastAsia="en-GB"/>
        </w:rPr>
        <w:t>compliant periodic reviews</w:t>
      </w:r>
      <w:r w:rsidRPr="009B2BB9">
        <w:rPr>
          <w:rFonts w:asciiTheme="minorHAnsi" w:eastAsia="Times New Roman" w:hAnsiTheme="minorHAnsi" w:cstheme="minorHAnsi"/>
          <w:iCs w:val="0"/>
          <w:szCs w:val="22"/>
          <w:lang w:eastAsia="en-GB"/>
        </w:rPr>
        <w:t xml:space="preserve"> should proportional regulatory relief be considered.</w:t>
      </w:r>
    </w:p>
    <w:p w14:paraId="5C979F0C" w14:textId="77777777" w:rsidR="00DB5838" w:rsidRPr="009B2BB9" w:rsidRDefault="00DB5838" w:rsidP="00040625">
      <w:pPr>
        <w:spacing w:after="0" w:line="300" w:lineRule="atLeast"/>
        <w:rPr>
          <w:rFonts w:asciiTheme="minorHAnsi" w:eastAsia="Times New Roman" w:hAnsiTheme="minorHAnsi" w:cstheme="minorHAnsi"/>
          <w:iCs w:val="0"/>
          <w:szCs w:val="22"/>
          <w:lang w:eastAsia="en-GB"/>
        </w:rPr>
      </w:pPr>
    </w:p>
    <w:p w14:paraId="355F3AC9" w14:textId="1AD70EB1" w:rsidR="009B2BB9" w:rsidRPr="00DB5838" w:rsidRDefault="009B2BB9" w:rsidP="000153A5">
      <w:pPr>
        <w:pStyle w:val="Titre3"/>
        <w:rPr>
          <w:lang w:eastAsia="en-GB"/>
        </w:rPr>
      </w:pPr>
      <w:bookmarkStart w:id="426" w:name="_Toc226533711"/>
      <w:r w:rsidRPr="00DB5838">
        <w:rPr>
          <w:lang w:eastAsia="en-GB"/>
        </w:rPr>
        <w:t>Late</w:t>
      </w:r>
      <w:r w:rsidRPr="00DB5838">
        <w:rPr>
          <w:lang w:eastAsia="en-GB"/>
        </w:rPr>
        <w:noBreakHyphen/>
        <w:t>lifecycle risk</w:t>
      </w:r>
      <w:r w:rsidR="005D5243">
        <w:rPr>
          <w:lang w:eastAsia="en-GB"/>
        </w:rPr>
        <w:t>s</w:t>
      </w:r>
      <w:r w:rsidRPr="00DB5838">
        <w:rPr>
          <w:lang w:eastAsia="en-GB"/>
        </w:rPr>
        <w:t>: ensuring continued state of the art</w:t>
      </w:r>
      <w:bookmarkEnd w:id="426"/>
    </w:p>
    <w:p w14:paraId="15D0182F" w14:textId="77777777" w:rsidR="00432712" w:rsidRPr="00432712" w:rsidRDefault="00432712" w:rsidP="00432712">
      <w:pPr>
        <w:spacing w:after="0" w:line="300" w:lineRule="atLeast"/>
        <w:rPr>
          <w:rFonts w:asciiTheme="minorHAnsi" w:eastAsia="Times New Roman" w:hAnsiTheme="minorHAnsi" w:cstheme="minorHAnsi"/>
          <w:iCs w:val="0"/>
          <w:szCs w:val="22"/>
          <w:lang w:eastAsia="en-GB"/>
        </w:rPr>
      </w:pPr>
      <w:r w:rsidRPr="00432712">
        <w:rPr>
          <w:rFonts w:asciiTheme="minorHAnsi" w:eastAsia="Times New Roman" w:hAnsiTheme="minorHAnsi" w:cstheme="minorHAnsi"/>
          <w:iCs w:val="0"/>
          <w:szCs w:val="22"/>
          <w:lang w:eastAsia="en-GB"/>
        </w:rPr>
        <w:t xml:space="preserve">Conversely, experience also shows that risks tend to increase again as devices approach </w:t>
      </w:r>
      <w:r w:rsidRPr="00432712">
        <w:rPr>
          <w:rFonts w:asciiTheme="minorHAnsi" w:eastAsia="Times New Roman" w:hAnsiTheme="minorHAnsi" w:cstheme="minorHAnsi"/>
          <w:b/>
          <w:bCs/>
          <w:iCs w:val="0"/>
          <w:szCs w:val="22"/>
          <w:lang w:eastAsia="en-GB"/>
        </w:rPr>
        <w:t>later lifecycle stages or obsolescence</w:t>
      </w:r>
      <w:r w:rsidRPr="00432712">
        <w:rPr>
          <w:rFonts w:asciiTheme="minorHAnsi" w:eastAsia="Times New Roman" w:hAnsiTheme="minorHAnsi" w:cstheme="minorHAnsi"/>
          <w:iCs w:val="0"/>
          <w:szCs w:val="22"/>
          <w:lang w:eastAsia="en-GB"/>
        </w:rPr>
        <w:t>. Changes in clinical practice, evolving standards, emerging cybersecurity threats, or outdated materials and manufacturing processes may progressively erode the original safety and performance assumptions.</w:t>
      </w:r>
    </w:p>
    <w:p w14:paraId="6B3C743A" w14:textId="1110C9A2" w:rsidR="00432712" w:rsidRPr="00432712" w:rsidRDefault="00432712" w:rsidP="00432712">
      <w:pPr>
        <w:spacing w:after="0" w:line="300" w:lineRule="atLeast"/>
        <w:rPr>
          <w:rFonts w:asciiTheme="minorHAnsi" w:eastAsia="Times New Roman" w:hAnsiTheme="minorHAnsi" w:cstheme="minorHAnsi"/>
          <w:iCs w:val="0"/>
          <w:szCs w:val="22"/>
          <w:lang w:eastAsia="en-GB"/>
        </w:rPr>
      </w:pPr>
      <w:r w:rsidRPr="00432712">
        <w:rPr>
          <w:rFonts w:asciiTheme="minorHAnsi" w:eastAsia="Times New Roman" w:hAnsiTheme="minorHAnsi" w:cstheme="minorHAnsi"/>
          <w:iCs w:val="0"/>
          <w:szCs w:val="22"/>
          <w:lang w:eastAsia="en-GB"/>
        </w:rPr>
        <w:t>For this reason, Team</w:t>
      </w:r>
      <w:r w:rsidRPr="00432712">
        <w:rPr>
          <w:rFonts w:asciiTheme="minorHAnsi" w:eastAsia="Times New Roman" w:hAnsiTheme="minorHAnsi" w:cstheme="minorHAnsi"/>
          <w:iCs w:val="0"/>
          <w:szCs w:val="22"/>
          <w:lang w:eastAsia="en-GB"/>
        </w:rPr>
        <w:noBreakHyphen/>
        <w:t xml:space="preserve">NB recommends that </w:t>
      </w:r>
      <w:r w:rsidRPr="00432712">
        <w:rPr>
          <w:rFonts w:asciiTheme="minorHAnsi" w:eastAsia="Times New Roman" w:hAnsiTheme="minorHAnsi" w:cstheme="minorHAnsi"/>
          <w:b/>
          <w:bCs/>
          <w:iCs w:val="0"/>
          <w:szCs w:val="22"/>
          <w:lang w:eastAsia="en-GB"/>
        </w:rPr>
        <w:t>periodic reviews conducted at later lifecycle stages place increased emphasis on state</w:t>
      </w:r>
      <w:r w:rsidRPr="00432712">
        <w:rPr>
          <w:rFonts w:asciiTheme="minorHAnsi" w:eastAsia="Times New Roman" w:hAnsiTheme="minorHAnsi" w:cstheme="minorHAnsi"/>
          <w:b/>
          <w:bCs/>
          <w:iCs w:val="0"/>
          <w:szCs w:val="22"/>
          <w:lang w:eastAsia="en-GB"/>
        </w:rPr>
        <w:noBreakHyphen/>
        <w:t>of</w:t>
      </w:r>
      <w:r w:rsidRPr="00432712">
        <w:rPr>
          <w:rFonts w:asciiTheme="minorHAnsi" w:eastAsia="Times New Roman" w:hAnsiTheme="minorHAnsi" w:cstheme="minorHAnsi"/>
          <w:b/>
          <w:bCs/>
          <w:iCs w:val="0"/>
          <w:szCs w:val="22"/>
          <w:lang w:eastAsia="en-GB"/>
        </w:rPr>
        <w:noBreakHyphen/>
        <w:t>the</w:t>
      </w:r>
      <w:r w:rsidRPr="00432712">
        <w:rPr>
          <w:rFonts w:asciiTheme="minorHAnsi" w:eastAsia="Times New Roman" w:hAnsiTheme="minorHAnsi" w:cstheme="minorHAnsi"/>
          <w:b/>
          <w:bCs/>
          <w:iCs w:val="0"/>
          <w:szCs w:val="22"/>
          <w:lang w:eastAsia="en-GB"/>
        </w:rPr>
        <w:noBreakHyphen/>
        <w:t>art considerations</w:t>
      </w:r>
      <w:r w:rsidRPr="00432712">
        <w:rPr>
          <w:rFonts w:asciiTheme="minorHAnsi" w:eastAsia="Times New Roman" w:hAnsiTheme="minorHAnsi" w:cstheme="minorHAnsi"/>
          <w:iCs w:val="0"/>
          <w:szCs w:val="22"/>
          <w:lang w:eastAsia="en-GB"/>
        </w:rPr>
        <w:t xml:space="preserve">, regardless of prior compliance history. This can be </w:t>
      </w:r>
      <w:r w:rsidR="005A66CB" w:rsidRPr="00432712">
        <w:rPr>
          <w:rFonts w:asciiTheme="minorHAnsi" w:eastAsia="Times New Roman" w:hAnsiTheme="minorHAnsi" w:cstheme="minorHAnsi"/>
          <w:iCs w:val="0"/>
          <w:szCs w:val="22"/>
          <w:lang w:eastAsia="en-GB"/>
        </w:rPr>
        <w:t>achieved by</w:t>
      </w:r>
      <w:r w:rsidRPr="00432712">
        <w:rPr>
          <w:rFonts w:asciiTheme="minorHAnsi" w:eastAsia="Times New Roman" w:hAnsiTheme="minorHAnsi" w:cstheme="minorHAnsi"/>
          <w:iCs w:val="0"/>
          <w:szCs w:val="22"/>
          <w:lang w:eastAsia="en-GB"/>
        </w:rPr>
        <w:t xml:space="preserve"> applying a </w:t>
      </w:r>
      <w:r w:rsidRPr="00432712">
        <w:rPr>
          <w:rFonts w:asciiTheme="minorHAnsi" w:eastAsia="Times New Roman" w:hAnsiTheme="minorHAnsi" w:cstheme="minorHAnsi"/>
          <w:b/>
          <w:bCs/>
          <w:iCs w:val="0"/>
          <w:szCs w:val="22"/>
          <w:lang w:eastAsia="en-GB"/>
        </w:rPr>
        <w:t>more focused and, where appropriate, more intensive periodic review</w:t>
      </w:r>
      <w:r w:rsidRPr="00432712">
        <w:rPr>
          <w:rFonts w:asciiTheme="minorHAnsi" w:eastAsia="Times New Roman" w:hAnsiTheme="minorHAnsi" w:cstheme="minorHAnsi"/>
          <w:iCs w:val="0"/>
          <w:szCs w:val="22"/>
          <w:lang w:eastAsia="en-GB"/>
        </w:rPr>
        <w:t>, concentrating in particular on:</w:t>
      </w:r>
    </w:p>
    <w:p w14:paraId="0943B4E8" w14:textId="77777777" w:rsidR="00432712" w:rsidRPr="00432712" w:rsidRDefault="00432712" w:rsidP="00700B94">
      <w:pPr>
        <w:numPr>
          <w:ilvl w:val="0"/>
          <w:numId w:val="55"/>
        </w:numPr>
        <w:spacing w:after="0" w:line="300" w:lineRule="atLeast"/>
        <w:rPr>
          <w:rFonts w:asciiTheme="minorHAnsi" w:eastAsia="Times New Roman" w:hAnsiTheme="minorHAnsi" w:cstheme="minorHAnsi"/>
          <w:iCs w:val="0"/>
          <w:szCs w:val="22"/>
          <w:lang w:eastAsia="en-GB"/>
        </w:rPr>
      </w:pPr>
      <w:r w:rsidRPr="00432712">
        <w:rPr>
          <w:rFonts w:asciiTheme="minorHAnsi" w:eastAsia="Times New Roman" w:hAnsiTheme="minorHAnsi" w:cstheme="minorHAnsi"/>
          <w:iCs w:val="0"/>
          <w:szCs w:val="22"/>
          <w:lang w:eastAsia="en-GB"/>
        </w:rPr>
        <w:lastRenderedPageBreak/>
        <w:t>continued conformity with current state</w:t>
      </w:r>
      <w:r w:rsidRPr="00432712">
        <w:rPr>
          <w:rFonts w:asciiTheme="minorHAnsi" w:eastAsia="Times New Roman" w:hAnsiTheme="minorHAnsi" w:cstheme="minorHAnsi"/>
          <w:iCs w:val="0"/>
          <w:szCs w:val="22"/>
          <w:lang w:eastAsia="en-GB"/>
        </w:rPr>
        <w:noBreakHyphen/>
        <w:t>of</w:t>
      </w:r>
      <w:r w:rsidRPr="00432712">
        <w:rPr>
          <w:rFonts w:asciiTheme="minorHAnsi" w:eastAsia="Times New Roman" w:hAnsiTheme="minorHAnsi" w:cstheme="minorHAnsi"/>
          <w:iCs w:val="0"/>
          <w:szCs w:val="22"/>
          <w:lang w:eastAsia="en-GB"/>
        </w:rPr>
        <w:noBreakHyphen/>
        <w:t>the</w:t>
      </w:r>
      <w:r w:rsidRPr="00432712">
        <w:rPr>
          <w:rFonts w:asciiTheme="minorHAnsi" w:eastAsia="Times New Roman" w:hAnsiTheme="minorHAnsi" w:cstheme="minorHAnsi"/>
          <w:iCs w:val="0"/>
          <w:szCs w:val="22"/>
          <w:lang w:eastAsia="en-GB"/>
        </w:rPr>
        <w:noBreakHyphen/>
        <w:t>art technical and clinical requirements;</w:t>
      </w:r>
    </w:p>
    <w:p w14:paraId="057FE80D" w14:textId="77777777" w:rsidR="00432712" w:rsidRPr="00432712" w:rsidRDefault="00432712" w:rsidP="00700B94">
      <w:pPr>
        <w:numPr>
          <w:ilvl w:val="0"/>
          <w:numId w:val="55"/>
        </w:numPr>
        <w:spacing w:after="0" w:line="300" w:lineRule="atLeast"/>
        <w:rPr>
          <w:rFonts w:asciiTheme="minorHAnsi" w:eastAsia="Times New Roman" w:hAnsiTheme="minorHAnsi" w:cstheme="minorHAnsi"/>
          <w:iCs w:val="0"/>
          <w:szCs w:val="22"/>
          <w:lang w:eastAsia="en-GB"/>
        </w:rPr>
      </w:pPr>
      <w:r w:rsidRPr="00432712">
        <w:rPr>
          <w:rFonts w:asciiTheme="minorHAnsi" w:eastAsia="Times New Roman" w:hAnsiTheme="minorHAnsi" w:cstheme="minorHAnsi"/>
          <w:iCs w:val="0"/>
          <w:szCs w:val="22"/>
          <w:lang w:eastAsia="en-GB"/>
        </w:rPr>
        <w:t>relevance and continued applicability of existing standards and specifications;</w:t>
      </w:r>
    </w:p>
    <w:p w14:paraId="16F5DDF1" w14:textId="77777777" w:rsidR="00432712" w:rsidRPr="00432712" w:rsidRDefault="00432712" w:rsidP="00700B94">
      <w:pPr>
        <w:numPr>
          <w:ilvl w:val="0"/>
          <w:numId w:val="55"/>
        </w:numPr>
        <w:spacing w:after="0" w:line="300" w:lineRule="atLeast"/>
        <w:rPr>
          <w:rFonts w:asciiTheme="minorHAnsi" w:eastAsia="Times New Roman" w:hAnsiTheme="minorHAnsi" w:cstheme="minorHAnsi"/>
          <w:iCs w:val="0"/>
          <w:szCs w:val="22"/>
          <w:lang w:eastAsia="en-GB"/>
        </w:rPr>
      </w:pPr>
      <w:r w:rsidRPr="00432712">
        <w:rPr>
          <w:rFonts w:asciiTheme="minorHAnsi" w:eastAsia="Times New Roman" w:hAnsiTheme="minorHAnsi" w:cstheme="minorHAnsi"/>
          <w:iCs w:val="0"/>
          <w:szCs w:val="22"/>
          <w:lang w:eastAsia="en-GB"/>
        </w:rPr>
        <w:t>cumulative post</w:t>
      </w:r>
      <w:r w:rsidRPr="00432712">
        <w:rPr>
          <w:rFonts w:asciiTheme="minorHAnsi" w:eastAsia="Times New Roman" w:hAnsiTheme="minorHAnsi" w:cstheme="minorHAnsi"/>
          <w:iCs w:val="0"/>
          <w:szCs w:val="22"/>
          <w:lang w:eastAsia="en-GB"/>
        </w:rPr>
        <w:noBreakHyphen/>
        <w:t>market surveillance and vigilance data; and</w:t>
      </w:r>
    </w:p>
    <w:p w14:paraId="71502843" w14:textId="77777777" w:rsidR="00432712" w:rsidRPr="00432712" w:rsidRDefault="00432712" w:rsidP="00700B94">
      <w:pPr>
        <w:numPr>
          <w:ilvl w:val="0"/>
          <w:numId w:val="55"/>
        </w:numPr>
        <w:spacing w:after="0" w:line="300" w:lineRule="atLeast"/>
        <w:rPr>
          <w:rFonts w:asciiTheme="minorHAnsi" w:eastAsia="Times New Roman" w:hAnsiTheme="minorHAnsi" w:cstheme="minorHAnsi"/>
          <w:iCs w:val="0"/>
          <w:szCs w:val="22"/>
          <w:lang w:eastAsia="en-GB"/>
        </w:rPr>
      </w:pPr>
      <w:r w:rsidRPr="00432712">
        <w:rPr>
          <w:rFonts w:asciiTheme="minorHAnsi" w:eastAsia="Times New Roman" w:hAnsiTheme="minorHAnsi" w:cstheme="minorHAnsi"/>
          <w:iCs w:val="0"/>
          <w:szCs w:val="22"/>
          <w:lang w:eastAsia="en-GB"/>
        </w:rPr>
        <w:t>evidence that device design and performance have not undergone unnoticed drift over time.</w:t>
      </w:r>
    </w:p>
    <w:p w14:paraId="2B2577A5" w14:textId="77777777" w:rsidR="00432712" w:rsidRPr="00432712" w:rsidRDefault="00432712" w:rsidP="00432712">
      <w:pPr>
        <w:spacing w:after="0" w:line="300" w:lineRule="atLeast"/>
        <w:rPr>
          <w:rFonts w:asciiTheme="minorHAnsi" w:eastAsia="Times New Roman" w:hAnsiTheme="minorHAnsi" w:cstheme="minorHAnsi"/>
          <w:iCs w:val="0"/>
          <w:szCs w:val="22"/>
          <w:lang w:eastAsia="en-GB"/>
        </w:rPr>
      </w:pPr>
      <w:r w:rsidRPr="00432712">
        <w:rPr>
          <w:rFonts w:asciiTheme="minorHAnsi" w:eastAsia="Times New Roman" w:hAnsiTheme="minorHAnsi" w:cstheme="minorHAnsi"/>
          <w:iCs w:val="0"/>
          <w:szCs w:val="22"/>
          <w:lang w:eastAsia="en-GB"/>
        </w:rPr>
        <w:t xml:space="preserve">Such an approach ensures that regulatory oversight remains </w:t>
      </w:r>
      <w:r w:rsidRPr="00432712">
        <w:rPr>
          <w:rFonts w:asciiTheme="minorHAnsi" w:eastAsia="Times New Roman" w:hAnsiTheme="minorHAnsi" w:cstheme="minorHAnsi"/>
          <w:b/>
          <w:bCs/>
          <w:iCs w:val="0"/>
          <w:szCs w:val="22"/>
          <w:lang w:eastAsia="en-GB"/>
        </w:rPr>
        <w:t>preventive rather than reactive</w:t>
      </w:r>
      <w:r w:rsidRPr="00432712">
        <w:rPr>
          <w:rFonts w:asciiTheme="minorHAnsi" w:eastAsia="Times New Roman" w:hAnsiTheme="minorHAnsi" w:cstheme="minorHAnsi"/>
          <w:iCs w:val="0"/>
          <w:szCs w:val="22"/>
          <w:lang w:eastAsia="en-GB"/>
        </w:rPr>
        <w:t>, addressing emerging risks before they result in patient harm.</w:t>
      </w:r>
    </w:p>
    <w:p w14:paraId="0C0986AC" w14:textId="6825DA57" w:rsidR="00FF3B3A" w:rsidRPr="009B2BB9" w:rsidRDefault="009B2BB9" w:rsidP="00040625">
      <w:pPr>
        <w:spacing w:after="0" w:line="300" w:lineRule="atLeast"/>
        <w:rPr>
          <w:rFonts w:asciiTheme="minorHAnsi" w:eastAsia="Times New Roman" w:hAnsiTheme="minorHAnsi" w:cstheme="minorHAnsi"/>
          <w:iCs w:val="0"/>
          <w:szCs w:val="22"/>
          <w:lang w:eastAsia="en-GB"/>
        </w:rPr>
      </w:pPr>
      <w:r w:rsidRPr="009B2BB9">
        <w:rPr>
          <w:rFonts w:asciiTheme="minorHAnsi" w:eastAsia="Times New Roman" w:hAnsiTheme="minorHAnsi" w:cstheme="minorHAnsi"/>
          <w:iCs w:val="0"/>
          <w:szCs w:val="22"/>
          <w:lang w:eastAsia="en-GB"/>
        </w:rPr>
        <w:t>.</w:t>
      </w:r>
    </w:p>
    <w:p w14:paraId="1C4EF9C2" w14:textId="25FC8939" w:rsidR="009B2BB9" w:rsidRPr="009B2BB9" w:rsidRDefault="009B2BB9" w:rsidP="000153A5">
      <w:pPr>
        <w:pStyle w:val="Titre3"/>
        <w:rPr>
          <w:lang w:eastAsia="en-GB"/>
        </w:rPr>
      </w:pPr>
      <w:bookmarkStart w:id="427" w:name="_Toc226533712"/>
      <w:r w:rsidRPr="009B2BB9">
        <w:rPr>
          <w:lang w:eastAsia="en-GB"/>
        </w:rPr>
        <w:t>Benefits of a performance</w:t>
      </w:r>
      <w:r w:rsidRPr="009B2BB9">
        <w:rPr>
          <w:lang w:eastAsia="en-GB"/>
        </w:rPr>
        <w:noBreakHyphen/>
        <w:t>based oversight model</w:t>
      </w:r>
      <w:bookmarkEnd w:id="427"/>
    </w:p>
    <w:p w14:paraId="1CD0405A" w14:textId="77777777" w:rsidR="009B2BB9" w:rsidRPr="009B2BB9" w:rsidRDefault="009B2BB9" w:rsidP="00040625">
      <w:pPr>
        <w:spacing w:after="0" w:line="300" w:lineRule="atLeast"/>
        <w:rPr>
          <w:rFonts w:asciiTheme="minorHAnsi" w:eastAsia="Times New Roman" w:hAnsiTheme="minorHAnsi" w:cstheme="minorHAnsi"/>
          <w:iCs w:val="0"/>
          <w:szCs w:val="22"/>
          <w:lang w:eastAsia="en-GB"/>
        </w:rPr>
      </w:pPr>
      <w:r w:rsidRPr="009B2BB9">
        <w:rPr>
          <w:rFonts w:asciiTheme="minorHAnsi" w:eastAsia="Times New Roman" w:hAnsiTheme="minorHAnsi" w:cstheme="minorHAnsi"/>
          <w:iCs w:val="0"/>
          <w:szCs w:val="22"/>
          <w:lang w:eastAsia="en-GB"/>
        </w:rPr>
        <w:t>A regulatory framework that differentiates oversight based on demonstrated performance would:</w:t>
      </w:r>
    </w:p>
    <w:p w14:paraId="7C416AFF" w14:textId="77777777" w:rsidR="009B2BB9" w:rsidRPr="009B2BB9" w:rsidRDefault="009B2BB9" w:rsidP="00700B94">
      <w:pPr>
        <w:numPr>
          <w:ilvl w:val="0"/>
          <w:numId w:val="53"/>
        </w:numPr>
        <w:spacing w:after="0" w:line="300" w:lineRule="atLeast"/>
        <w:rPr>
          <w:rFonts w:asciiTheme="minorHAnsi" w:eastAsia="Times New Roman" w:hAnsiTheme="minorHAnsi" w:cstheme="minorHAnsi"/>
          <w:iCs w:val="0"/>
          <w:szCs w:val="22"/>
          <w:lang w:eastAsia="en-GB"/>
        </w:rPr>
      </w:pPr>
      <w:r w:rsidRPr="009B2BB9">
        <w:rPr>
          <w:rFonts w:asciiTheme="minorHAnsi" w:eastAsia="Times New Roman" w:hAnsiTheme="minorHAnsi" w:cstheme="minorHAnsi"/>
          <w:iCs w:val="0"/>
          <w:szCs w:val="22"/>
          <w:lang w:eastAsia="en-GB"/>
        </w:rPr>
        <w:t>incentivise manufacturers to maintain consistently high compliance standards;</w:t>
      </w:r>
    </w:p>
    <w:p w14:paraId="74B2C294" w14:textId="77777777" w:rsidR="009B2BB9" w:rsidRPr="009B2BB9" w:rsidRDefault="009B2BB9" w:rsidP="00700B94">
      <w:pPr>
        <w:numPr>
          <w:ilvl w:val="0"/>
          <w:numId w:val="53"/>
        </w:numPr>
        <w:spacing w:after="0" w:line="300" w:lineRule="atLeast"/>
        <w:rPr>
          <w:rFonts w:asciiTheme="minorHAnsi" w:eastAsia="Times New Roman" w:hAnsiTheme="minorHAnsi" w:cstheme="minorHAnsi"/>
          <w:iCs w:val="0"/>
          <w:szCs w:val="22"/>
          <w:lang w:eastAsia="en-GB"/>
        </w:rPr>
      </w:pPr>
      <w:r w:rsidRPr="009B2BB9">
        <w:rPr>
          <w:rFonts w:asciiTheme="minorHAnsi" w:eastAsia="Times New Roman" w:hAnsiTheme="minorHAnsi" w:cstheme="minorHAnsi"/>
          <w:iCs w:val="0"/>
          <w:szCs w:val="22"/>
          <w:lang w:eastAsia="en-GB"/>
        </w:rPr>
        <w:t>reduce unnecessary administrative burden for proven, well</w:t>
      </w:r>
      <w:r w:rsidRPr="009B2BB9">
        <w:rPr>
          <w:rFonts w:asciiTheme="minorHAnsi" w:eastAsia="Times New Roman" w:hAnsiTheme="minorHAnsi" w:cstheme="minorHAnsi"/>
          <w:iCs w:val="0"/>
          <w:szCs w:val="22"/>
          <w:lang w:eastAsia="en-GB"/>
        </w:rPr>
        <w:noBreakHyphen/>
        <w:t>performing devices;</w:t>
      </w:r>
    </w:p>
    <w:p w14:paraId="08DF910B" w14:textId="77777777" w:rsidR="009B2BB9" w:rsidRPr="009B2BB9" w:rsidRDefault="009B2BB9" w:rsidP="00700B94">
      <w:pPr>
        <w:numPr>
          <w:ilvl w:val="0"/>
          <w:numId w:val="53"/>
        </w:numPr>
        <w:spacing w:after="0" w:line="300" w:lineRule="atLeast"/>
        <w:rPr>
          <w:rFonts w:asciiTheme="minorHAnsi" w:eastAsia="Times New Roman" w:hAnsiTheme="minorHAnsi" w:cstheme="minorHAnsi"/>
          <w:iCs w:val="0"/>
          <w:szCs w:val="22"/>
          <w:lang w:eastAsia="en-GB"/>
        </w:rPr>
      </w:pPr>
      <w:r w:rsidRPr="009B2BB9">
        <w:rPr>
          <w:rFonts w:asciiTheme="minorHAnsi" w:eastAsia="Times New Roman" w:hAnsiTheme="minorHAnsi" w:cstheme="minorHAnsi"/>
          <w:iCs w:val="0"/>
          <w:szCs w:val="22"/>
          <w:lang w:eastAsia="en-GB"/>
        </w:rPr>
        <w:t>allow notified bodies and authorities to focus resources where risk is highest;</w:t>
      </w:r>
    </w:p>
    <w:p w14:paraId="03CC0E6B" w14:textId="77777777" w:rsidR="009B2BB9" w:rsidRPr="009B2BB9" w:rsidRDefault="009B2BB9" w:rsidP="00700B94">
      <w:pPr>
        <w:numPr>
          <w:ilvl w:val="0"/>
          <w:numId w:val="53"/>
        </w:numPr>
        <w:spacing w:after="0" w:line="300" w:lineRule="atLeast"/>
        <w:rPr>
          <w:rFonts w:asciiTheme="minorHAnsi" w:eastAsia="Times New Roman" w:hAnsiTheme="minorHAnsi" w:cstheme="minorHAnsi"/>
          <w:iCs w:val="0"/>
          <w:szCs w:val="22"/>
          <w:lang w:eastAsia="en-GB"/>
        </w:rPr>
      </w:pPr>
      <w:r w:rsidRPr="009B2BB9">
        <w:rPr>
          <w:rFonts w:asciiTheme="minorHAnsi" w:eastAsia="Times New Roman" w:hAnsiTheme="minorHAnsi" w:cstheme="minorHAnsi"/>
          <w:iCs w:val="0"/>
          <w:szCs w:val="22"/>
          <w:lang w:eastAsia="en-GB"/>
        </w:rPr>
        <w:t>preserve patient safety by maintaining strong scrutiny in early and late lifecycle phases; and</w:t>
      </w:r>
    </w:p>
    <w:p w14:paraId="4651D3EC" w14:textId="77777777" w:rsidR="009B2BB9" w:rsidRPr="009B2BB9" w:rsidRDefault="009B2BB9" w:rsidP="00700B94">
      <w:pPr>
        <w:numPr>
          <w:ilvl w:val="0"/>
          <w:numId w:val="53"/>
        </w:numPr>
        <w:spacing w:after="0" w:line="300" w:lineRule="atLeast"/>
        <w:rPr>
          <w:rFonts w:asciiTheme="minorHAnsi" w:eastAsia="Times New Roman" w:hAnsiTheme="minorHAnsi" w:cstheme="minorHAnsi"/>
          <w:iCs w:val="0"/>
          <w:szCs w:val="22"/>
          <w:lang w:eastAsia="en-GB"/>
        </w:rPr>
      </w:pPr>
      <w:r w:rsidRPr="009B2BB9">
        <w:rPr>
          <w:rFonts w:asciiTheme="minorHAnsi" w:eastAsia="Times New Roman" w:hAnsiTheme="minorHAnsi" w:cstheme="minorHAnsi"/>
          <w:iCs w:val="0"/>
          <w:szCs w:val="22"/>
          <w:lang w:eastAsia="en-GB"/>
        </w:rPr>
        <w:t>improve predictability and trust in the regulatory system.</w:t>
      </w:r>
    </w:p>
    <w:p w14:paraId="4C3BCF4A" w14:textId="77777777" w:rsidR="009B2BB9" w:rsidRPr="009B2BB9" w:rsidRDefault="009B2BB9" w:rsidP="00040625">
      <w:pPr>
        <w:spacing w:after="0" w:line="300" w:lineRule="atLeast"/>
        <w:rPr>
          <w:rFonts w:asciiTheme="minorHAnsi" w:eastAsia="Times New Roman" w:hAnsiTheme="minorHAnsi" w:cstheme="minorHAnsi"/>
          <w:iCs w:val="0"/>
          <w:szCs w:val="22"/>
          <w:lang w:eastAsia="en-GB"/>
        </w:rPr>
      </w:pPr>
      <w:r w:rsidRPr="009B2BB9">
        <w:rPr>
          <w:rFonts w:asciiTheme="minorHAnsi" w:eastAsia="Times New Roman" w:hAnsiTheme="minorHAnsi" w:cstheme="minorHAnsi"/>
          <w:iCs w:val="0"/>
          <w:szCs w:val="22"/>
          <w:lang w:eastAsia="en-GB"/>
        </w:rPr>
        <w:t xml:space="preserve">In this way, efficiency gains would be achieved </w:t>
      </w:r>
      <w:r w:rsidRPr="009B2BB9">
        <w:rPr>
          <w:rFonts w:asciiTheme="minorHAnsi" w:eastAsia="Times New Roman" w:hAnsiTheme="minorHAnsi" w:cstheme="minorHAnsi"/>
          <w:b/>
          <w:bCs/>
          <w:iCs w:val="0"/>
          <w:szCs w:val="22"/>
          <w:lang w:eastAsia="en-GB"/>
        </w:rPr>
        <w:t>through better targeting of regulatory effort</w:t>
      </w:r>
      <w:r w:rsidRPr="009B2BB9">
        <w:rPr>
          <w:rFonts w:asciiTheme="minorHAnsi" w:eastAsia="Times New Roman" w:hAnsiTheme="minorHAnsi" w:cstheme="minorHAnsi"/>
          <w:iCs w:val="0"/>
          <w:szCs w:val="22"/>
          <w:lang w:eastAsia="en-GB"/>
        </w:rPr>
        <w:t>, rather than by reducing the level of protection embedded in the MDR and IVDR.</w:t>
      </w:r>
    </w:p>
    <w:p w14:paraId="41E5DA39" w14:textId="77777777" w:rsidR="000C2B0F" w:rsidRPr="004A7E5E" w:rsidRDefault="000C2B0F" w:rsidP="000C2B0F">
      <w:pPr>
        <w:rPr>
          <w:lang w:val="en-US"/>
        </w:rPr>
      </w:pPr>
    </w:p>
    <w:p w14:paraId="29F182EB" w14:textId="7CCFBC36" w:rsidR="000C2B0F" w:rsidRPr="004A7E5E" w:rsidRDefault="000C2B0F" w:rsidP="00A7626C">
      <w:pPr>
        <w:pStyle w:val="Titre1"/>
      </w:pPr>
      <w:bookmarkStart w:id="428" w:name="_Toc226533713"/>
      <w:r w:rsidRPr="004A7E5E">
        <w:t>Change in Notified Bodies requirements tasks</w:t>
      </w:r>
      <w:bookmarkEnd w:id="428"/>
    </w:p>
    <w:p w14:paraId="31382C6A" w14:textId="642027A8" w:rsidR="000C2B0F" w:rsidRPr="004A7E5E" w:rsidRDefault="000C2B0F" w:rsidP="00700B94">
      <w:pPr>
        <w:pStyle w:val="Titre2"/>
        <w:numPr>
          <w:ilvl w:val="1"/>
          <w:numId w:val="56"/>
        </w:numPr>
      </w:pPr>
      <w:bookmarkStart w:id="429" w:name="_Toc226533714"/>
      <w:r w:rsidRPr="004A7E5E">
        <w:t>High</w:t>
      </w:r>
      <w:r w:rsidR="00B55425">
        <w:t>-</w:t>
      </w:r>
      <w:r w:rsidRPr="004A7E5E">
        <w:t xml:space="preserve">level </w:t>
      </w:r>
      <w:r w:rsidR="00B55425">
        <w:t>summary</w:t>
      </w:r>
      <w:bookmarkEnd w:id="429"/>
    </w:p>
    <w:p w14:paraId="65C1690E" w14:textId="77777777" w:rsidR="00B53B5F" w:rsidRPr="004A7E5E" w:rsidRDefault="00B53B5F" w:rsidP="0024535D">
      <w:r w:rsidRPr="004A7E5E">
        <w:t xml:space="preserve">Europe is at a critical juncture in regulatory history. Decisions made today will either deliver devices to help solve health crises and improve patient outcomes across member states, or encourage manufacturers to first place those devices on offshore markets.  </w:t>
      </w:r>
    </w:p>
    <w:p w14:paraId="47E81A8C" w14:textId="77777777" w:rsidR="00B53B5F" w:rsidRPr="004A7E5E" w:rsidRDefault="00B53B5F" w:rsidP="0024535D">
      <w:r w:rsidRPr="004A7E5E">
        <w:t xml:space="preserve">Notified bodies are a critical part of the infrastructure that currently delivers medical innovation to the European market. This is, in part, because they possess the necessary expertise and resource to make an informed assessment as to whether a given device is safe, performant, and effective. </w:t>
      </w:r>
    </w:p>
    <w:p w14:paraId="530CBD71" w14:textId="0E3A27E0" w:rsidR="000C2B0F" w:rsidRPr="004A7E5E" w:rsidRDefault="00B53B5F" w:rsidP="0024535D">
      <w:r w:rsidRPr="004A7E5E">
        <w:t>Team</w:t>
      </w:r>
      <w:r w:rsidR="00CB3EE5">
        <w:t>-</w:t>
      </w:r>
      <w:r w:rsidRPr="004A7E5E">
        <w:t xml:space="preserve">NB supports many aspects of the Commission’s proposal in respect of the changes to </w:t>
      </w:r>
      <w:r w:rsidR="001726C6">
        <w:t>n</w:t>
      </w:r>
      <w:r w:rsidRPr="004A7E5E">
        <w:t xml:space="preserve">otified </w:t>
      </w:r>
      <w:r w:rsidR="001726C6">
        <w:t>b</w:t>
      </w:r>
      <w:r w:rsidRPr="004A7E5E">
        <w:t xml:space="preserve">ody requirements and tasks (see below) but identifies concerns over implementation as is.  However, the following aspects, when viewed as a package, rather than in a vacuum, present a serious system-level risk to the viability of </w:t>
      </w:r>
      <w:r w:rsidR="001726C6">
        <w:t>n</w:t>
      </w:r>
      <w:r w:rsidRPr="004A7E5E">
        <w:t xml:space="preserve">otified </w:t>
      </w:r>
      <w:r w:rsidR="001726C6">
        <w:t>b</w:t>
      </w:r>
      <w:r w:rsidRPr="004A7E5E">
        <w:t>odies. Team</w:t>
      </w:r>
      <w:r w:rsidR="00CB3EE5">
        <w:t>-</w:t>
      </w:r>
      <w:r w:rsidRPr="004A7E5E">
        <w:t>NB’s view is that this will lead to crisis in terms of device delivery.</w:t>
      </w:r>
    </w:p>
    <w:p w14:paraId="2ACC7736" w14:textId="7AB96F8A" w:rsidR="000C2B0F" w:rsidRPr="004A7E5E" w:rsidRDefault="00C40DAC" w:rsidP="00700B94">
      <w:pPr>
        <w:pStyle w:val="Titre2"/>
        <w:numPr>
          <w:ilvl w:val="1"/>
          <w:numId w:val="56"/>
        </w:numPr>
      </w:pPr>
      <w:bookmarkStart w:id="430" w:name="_Toc226533715"/>
      <w:r w:rsidRPr="004A7E5E">
        <w:t>Financial components</w:t>
      </w:r>
      <w:bookmarkEnd w:id="430"/>
    </w:p>
    <w:p w14:paraId="01062052" w14:textId="66F20A42" w:rsidR="000C2B0F" w:rsidRPr="0024535D" w:rsidRDefault="00457183" w:rsidP="0024535D">
      <w:pPr>
        <w:keepNext/>
        <w:keepLines/>
        <w:spacing w:before="40" w:after="0" w:line="256" w:lineRule="auto"/>
        <w:outlineLvl w:val="3"/>
        <w:rPr>
          <w:rFonts w:cs="Times New Roman"/>
          <w:i/>
          <w:color w:val="2F5496" w:themeColor="accent1" w:themeShade="BF"/>
          <w:lang w:eastAsia="en-GB"/>
        </w:rPr>
      </w:pPr>
      <w:r w:rsidRPr="0024535D">
        <w:rPr>
          <w:rFonts w:eastAsia="Times New Roman" w:cs="Times New Roman"/>
          <w:i/>
          <w:iCs w:val="0"/>
          <w:color w:val="2F5496" w:themeColor="accent1" w:themeShade="BF"/>
          <w:lang w:eastAsia="en-GB"/>
        </w:rPr>
        <w:t xml:space="preserve"> Overview</w:t>
      </w:r>
    </w:p>
    <w:p w14:paraId="248080C2" w14:textId="6E537FB4" w:rsidR="00325EBD" w:rsidRPr="00F43A6D" w:rsidRDefault="00325EBD" w:rsidP="00700B94">
      <w:pPr>
        <w:pStyle w:val="Paragraphedeliste"/>
        <w:numPr>
          <w:ilvl w:val="0"/>
          <w:numId w:val="42"/>
        </w:numPr>
      </w:pPr>
      <w:r w:rsidRPr="00F43A6D">
        <w:t>Ensure clarity on liabilities and prevent spiralling insurance costs.</w:t>
      </w:r>
    </w:p>
    <w:p w14:paraId="5E3BD373" w14:textId="1170DDB8" w:rsidR="000C2B0F" w:rsidRPr="00F43A6D" w:rsidRDefault="00325EBD" w:rsidP="00700B94">
      <w:pPr>
        <w:pStyle w:val="Paragraphedeliste"/>
        <w:numPr>
          <w:ilvl w:val="0"/>
          <w:numId w:val="42"/>
        </w:numPr>
      </w:pPr>
      <w:r w:rsidRPr="00F43A6D">
        <w:t xml:space="preserve">Protect capacity, competition, and expertise: Avoid measures that accelerate consolidation and exit by ensuring oversight is predictable and proportionate, safeguarding </w:t>
      </w:r>
      <w:r w:rsidR="001726C6">
        <w:t>n</w:t>
      </w:r>
      <w:r w:rsidRPr="00F43A6D">
        <w:t xml:space="preserve">otified </w:t>
      </w:r>
      <w:r w:rsidR="001726C6">
        <w:t>b</w:t>
      </w:r>
      <w:r w:rsidRPr="00F43A6D">
        <w:t>ody capacity, retaining specialised expertise, and maintaining timely access to conformity assessment services across the EU.</w:t>
      </w:r>
    </w:p>
    <w:p w14:paraId="2CBF2BB6" w14:textId="77777777" w:rsidR="00077F39" w:rsidRPr="0024535D" w:rsidRDefault="00077F39" w:rsidP="0024535D">
      <w:pPr>
        <w:keepNext/>
        <w:keepLines/>
        <w:spacing w:before="40" w:after="0" w:line="256" w:lineRule="auto"/>
        <w:outlineLvl w:val="3"/>
        <w:rPr>
          <w:rFonts w:cs="Times New Roman"/>
          <w:i/>
          <w:color w:val="2F5496" w:themeColor="accent1" w:themeShade="BF"/>
          <w:lang w:eastAsia="en-GB"/>
        </w:rPr>
      </w:pPr>
      <w:bookmarkStart w:id="431" w:name="_Toc225929359"/>
      <w:bookmarkStart w:id="432" w:name="_Toc225929811"/>
      <w:bookmarkStart w:id="433" w:name="_Toc225930263"/>
      <w:bookmarkStart w:id="434" w:name="_Toc225930721"/>
      <w:bookmarkStart w:id="435" w:name="_Toc225931179"/>
      <w:bookmarkStart w:id="436" w:name="_Toc224205014"/>
      <w:bookmarkEnd w:id="431"/>
      <w:bookmarkEnd w:id="432"/>
      <w:bookmarkEnd w:id="433"/>
      <w:bookmarkEnd w:id="434"/>
      <w:bookmarkEnd w:id="435"/>
      <w:r w:rsidRPr="0024535D">
        <w:rPr>
          <w:rFonts w:eastAsia="Times New Roman" w:cs="Times New Roman"/>
          <w:i/>
          <w:iCs w:val="0"/>
          <w:color w:val="2F5496" w:themeColor="accent1" w:themeShade="BF"/>
          <w:lang w:eastAsia="en-GB"/>
        </w:rPr>
        <w:t>Cost Increases</w:t>
      </w:r>
      <w:bookmarkEnd w:id="436"/>
    </w:p>
    <w:p w14:paraId="3CFCA256" w14:textId="0A277224" w:rsidR="00077F39" w:rsidRPr="004A7E5E" w:rsidRDefault="00077F39" w:rsidP="0024535D">
      <w:r w:rsidRPr="004A7E5E">
        <w:t xml:space="preserve">Under the Commission’s proposal, </w:t>
      </w:r>
      <w:r w:rsidR="001726C6">
        <w:t>n</w:t>
      </w:r>
      <w:r w:rsidRPr="004A7E5E">
        <w:t xml:space="preserve">otified </w:t>
      </w:r>
      <w:r w:rsidR="001726C6">
        <w:t>b</w:t>
      </w:r>
      <w:r w:rsidRPr="004A7E5E">
        <w:t xml:space="preserve">odies would face a material increase in the cost of delivering conformity assessment services while simultaneously constraining revenue, creating </w:t>
      </w:r>
      <w:r w:rsidR="00530A47" w:rsidRPr="004A7E5E">
        <w:t>an</w:t>
      </w:r>
      <w:r w:rsidRPr="004A7E5E">
        <w:t xml:space="preserve"> unviable operating model.</w:t>
      </w:r>
    </w:p>
    <w:p w14:paraId="42EC8014" w14:textId="3B92C52D" w:rsidR="00077F39" w:rsidRPr="004A7E5E" w:rsidRDefault="00077F39" w:rsidP="0024535D">
      <w:r w:rsidRPr="004A7E5E">
        <w:t xml:space="preserve">The cost increase related to the introduction of fees payable by the </w:t>
      </w:r>
      <w:r w:rsidR="001726C6">
        <w:t>n</w:t>
      </w:r>
      <w:r w:rsidRPr="004A7E5E">
        <w:t xml:space="preserve">otified </w:t>
      </w:r>
      <w:r w:rsidR="001726C6">
        <w:t>b</w:t>
      </w:r>
      <w:r w:rsidRPr="004A7E5E">
        <w:t xml:space="preserve">ody to authorities for designation and ongoing surveillance activities under the proposed Article 40a will impact </w:t>
      </w:r>
      <w:r w:rsidR="001726C6">
        <w:lastRenderedPageBreak/>
        <w:t>n</w:t>
      </w:r>
      <w:r w:rsidRPr="004A7E5E">
        <w:t xml:space="preserve">otified </w:t>
      </w:r>
      <w:r w:rsidR="001726C6">
        <w:t>b</w:t>
      </w:r>
      <w:r w:rsidRPr="004A7E5E">
        <w:t xml:space="preserve">odies differently, as not all </w:t>
      </w:r>
      <w:r w:rsidR="001726C6">
        <w:t>n</w:t>
      </w:r>
      <w:r w:rsidRPr="004A7E5E">
        <w:t xml:space="preserve">otified </w:t>
      </w:r>
      <w:r w:rsidR="001726C6">
        <w:t>b</w:t>
      </w:r>
      <w:r w:rsidRPr="004A7E5E">
        <w:t>odies are required to pay their competent authorities for these types of services.</w:t>
      </w:r>
    </w:p>
    <w:p w14:paraId="05FA5A02" w14:textId="24E7A5EF" w:rsidR="00077F39" w:rsidRPr="004A7E5E" w:rsidRDefault="00077F39" w:rsidP="0024535D">
      <w:r w:rsidRPr="004A7E5E">
        <w:t xml:space="preserve">Of greater significance is the cost that </w:t>
      </w:r>
      <w:r w:rsidR="001726C6">
        <w:t>n</w:t>
      </w:r>
      <w:r w:rsidRPr="004A7E5E">
        <w:t xml:space="preserve">otified </w:t>
      </w:r>
      <w:r w:rsidR="001726C6">
        <w:t>b</w:t>
      </w:r>
      <w:r w:rsidRPr="004A7E5E">
        <w:t xml:space="preserve">odies will face in preparing for, attending, and completing post audit activities following a joint assessment every two years, as proposed by Article 44 (4)(a) of the draft text. This requires material resource that cannot be allocated to improving, supporting, or delivering the core conformity assessment services to manufacturers. </w:t>
      </w:r>
    </w:p>
    <w:p w14:paraId="089F68C4" w14:textId="398961AA" w:rsidR="00077F39" w:rsidRPr="004A7E5E" w:rsidRDefault="00077F39" w:rsidP="0024535D">
      <w:r w:rsidRPr="004A7E5E">
        <w:t xml:space="preserve">In addition to the audit days required for a joint assessment, there is a material amount of administrative burden on </w:t>
      </w:r>
      <w:r w:rsidR="001726C6">
        <w:t>n</w:t>
      </w:r>
      <w:r w:rsidRPr="004A7E5E">
        <w:t xml:space="preserve">otified </w:t>
      </w:r>
      <w:r w:rsidR="001726C6">
        <w:t>b</w:t>
      </w:r>
      <w:r w:rsidRPr="004A7E5E">
        <w:t>odies, which includes:</w:t>
      </w:r>
    </w:p>
    <w:p w14:paraId="6682D3A2" w14:textId="77777777" w:rsidR="00077F39" w:rsidRPr="004A7E5E" w:rsidRDefault="00077F39" w:rsidP="0024535D">
      <w:r w:rsidRPr="004A7E5E">
        <w:t>Preparation stage, including, for example, the completion of forms, provision of documentation.</w:t>
      </w:r>
    </w:p>
    <w:p w14:paraId="43FDE30A" w14:textId="77777777" w:rsidR="00077F39" w:rsidRPr="004A7E5E" w:rsidRDefault="00077F39" w:rsidP="00700B94">
      <w:pPr>
        <w:pStyle w:val="Paragraphedeliste"/>
        <w:numPr>
          <w:ilvl w:val="0"/>
          <w:numId w:val="43"/>
        </w:numPr>
      </w:pPr>
      <w:r w:rsidRPr="004A7E5E">
        <w:t>Scheduling delays for manufacturer audits, as joint assessment audit dates are held prior to being confirmed.</w:t>
      </w:r>
    </w:p>
    <w:p w14:paraId="7DFBD3C4" w14:textId="77777777" w:rsidR="00077F39" w:rsidRPr="004A7E5E" w:rsidRDefault="00077F39" w:rsidP="00700B94">
      <w:pPr>
        <w:pStyle w:val="Paragraphedeliste"/>
        <w:numPr>
          <w:ilvl w:val="0"/>
          <w:numId w:val="43"/>
        </w:numPr>
      </w:pPr>
      <w:r w:rsidRPr="004A7E5E">
        <w:t>Several streams of assessment to manage during the joint audit itself, and across a longer time frame due to translation, and lack of context (that would otherwise be held by the competent authority).</w:t>
      </w:r>
    </w:p>
    <w:p w14:paraId="40F7FDF0" w14:textId="77777777" w:rsidR="00077F39" w:rsidRPr="004A7E5E" w:rsidRDefault="00077F39" w:rsidP="00700B94">
      <w:pPr>
        <w:pStyle w:val="Paragraphedeliste"/>
        <w:numPr>
          <w:ilvl w:val="0"/>
          <w:numId w:val="43"/>
        </w:numPr>
      </w:pPr>
      <w:r w:rsidRPr="004A7E5E">
        <w:t xml:space="preserve">Follow up CAPA processes that (from experience) extend beyond 12 months after the audit dates, and would overlap with annual assessments. </w:t>
      </w:r>
    </w:p>
    <w:p w14:paraId="17D55EA1" w14:textId="77777777" w:rsidR="00077F39" w:rsidRPr="004A7E5E" w:rsidRDefault="00077F39" w:rsidP="0024535D">
      <w:r w:rsidRPr="004A7E5E">
        <w:t>The Commission has also proposed the removal of Article 10 (16), which currently provides clarity on manufacturer liability and insurance obligations:</w:t>
      </w:r>
    </w:p>
    <w:p w14:paraId="6F9C087F" w14:textId="77777777" w:rsidR="00077F39" w:rsidRPr="004A7E5E" w:rsidRDefault="00077F39" w:rsidP="00700B94">
      <w:pPr>
        <w:pStyle w:val="Paragraphedeliste"/>
        <w:numPr>
          <w:ilvl w:val="0"/>
          <w:numId w:val="44"/>
        </w:numPr>
      </w:pPr>
      <w:r w:rsidRPr="004A7E5E">
        <w:t xml:space="preserve">European patients and people can claim compensation for damage caused by a defective device; and </w:t>
      </w:r>
    </w:p>
    <w:p w14:paraId="4FFEF150" w14:textId="77777777" w:rsidR="00077F39" w:rsidRPr="004A7E5E" w:rsidRDefault="00077F39" w:rsidP="00700B94">
      <w:pPr>
        <w:pStyle w:val="Paragraphedeliste"/>
        <w:numPr>
          <w:ilvl w:val="0"/>
          <w:numId w:val="44"/>
        </w:numPr>
      </w:pPr>
      <w:r w:rsidRPr="004A7E5E">
        <w:t>Manufacturers shall carry insurance that provides sufficient financial coverage in respect of their potential liability.</w:t>
      </w:r>
    </w:p>
    <w:p w14:paraId="038A285D" w14:textId="707F7117" w:rsidR="0015180E" w:rsidRDefault="00077F39" w:rsidP="0024535D">
      <w:r w:rsidRPr="004A7E5E">
        <w:t>While we appreciate that the intent of the proposal is to simplify regulation, and many of the principles in Article 10(16) already apply implicitly or explicitly across other Union law, this statement in Article 10 makes it clear where primary liability falls in the event of a defective device. Where that liability is less clear, and where a manufacturer carries insufficient insurance to cover their own liability, claimants will inevitably turn to other stakeholders e.g.</w:t>
      </w:r>
      <w:r w:rsidR="00DD5369">
        <w:t>,</w:t>
      </w:r>
      <w:r w:rsidRPr="004A7E5E">
        <w:t xml:space="preserve"> healthcare providers</w:t>
      </w:r>
      <w:r w:rsidR="00DD5369">
        <w:t xml:space="preserve"> or notified bodies</w:t>
      </w:r>
      <w:r w:rsidRPr="004A7E5E">
        <w:t xml:space="preserve">. Therefore, by removing this clause, all stakeholders will need to carry higher indemnity levels in their own insurance policies (triggering higher premiums), and will face greater costs in defending unwarranted claims, for example, in the event of an insolvent manufacturer. </w:t>
      </w:r>
    </w:p>
    <w:p w14:paraId="09A0BC5D" w14:textId="2BEB9CB6" w:rsidR="0015180E" w:rsidRPr="004A7E5E" w:rsidRDefault="0015180E" w:rsidP="0024535D"/>
    <w:p w14:paraId="36B48D87" w14:textId="20AB6BCF" w:rsidR="00077F39" w:rsidRPr="0024535D" w:rsidRDefault="00982D8E" w:rsidP="0024535D">
      <w:pPr>
        <w:keepNext/>
        <w:keepLines/>
        <w:spacing w:before="40" w:after="0" w:line="256" w:lineRule="auto"/>
        <w:outlineLvl w:val="3"/>
        <w:rPr>
          <w:rFonts w:cs="Times New Roman"/>
          <w:i/>
          <w:color w:val="2F5496" w:themeColor="accent1" w:themeShade="BF"/>
          <w:lang w:eastAsia="en-GB"/>
        </w:rPr>
      </w:pPr>
      <w:r w:rsidRPr="0024535D">
        <w:rPr>
          <w:rFonts w:eastAsia="Times New Roman" w:cs="Times New Roman"/>
          <w:i/>
          <w:iCs w:val="0"/>
          <w:color w:val="2F5496" w:themeColor="accent1" w:themeShade="BF"/>
          <w:lang w:eastAsia="en-GB"/>
        </w:rPr>
        <w:t>Impact on Notified Bodies</w:t>
      </w:r>
    </w:p>
    <w:p w14:paraId="47A637A1" w14:textId="77E49079" w:rsidR="00077F39" w:rsidRPr="004A7E5E" w:rsidRDefault="00077F39" w:rsidP="0024535D">
      <w:r w:rsidRPr="004A7E5E">
        <w:t xml:space="preserve">For many </w:t>
      </w:r>
      <w:r w:rsidR="00430D89">
        <w:t>n</w:t>
      </w:r>
      <w:r w:rsidRPr="004A7E5E">
        <w:t xml:space="preserve">otified </w:t>
      </w:r>
      <w:r w:rsidR="00430D89">
        <w:t>b</w:t>
      </w:r>
      <w:r w:rsidRPr="004A7E5E">
        <w:t xml:space="preserve">odies, designation under Regulations (EU) 2017/745 and 746 is a loss leader. The proposed financial regulation in draft Article 50 presents an increased risk for </w:t>
      </w:r>
      <w:r w:rsidR="00430D89">
        <w:t>n</w:t>
      </w:r>
      <w:r w:rsidRPr="004A7E5E">
        <w:t xml:space="preserve">otified </w:t>
      </w:r>
      <w:r w:rsidR="00430D89">
        <w:t>b</w:t>
      </w:r>
      <w:r w:rsidRPr="004A7E5E">
        <w:t xml:space="preserve">odies, particularly a loss of predictability: </w:t>
      </w:r>
    </w:p>
    <w:p w14:paraId="4EB0EF2F" w14:textId="43BE747E" w:rsidR="00077F39" w:rsidRPr="004A7E5E" w:rsidRDefault="00077F39" w:rsidP="00700B94">
      <w:pPr>
        <w:pStyle w:val="Paragraphedeliste"/>
        <w:numPr>
          <w:ilvl w:val="0"/>
          <w:numId w:val="45"/>
        </w:numPr>
      </w:pPr>
      <w:r w:rsidRPr="004A7E5E">
        <w:t xml:space="preserve">First, imposing up to 50% reduction in pricing for small and micro enterprises, alongside mandatory deferred payment schedules will present material cost-recovery and severe cashflow problems for smaller and medium </w:t>
      </w:r>
      <w:r w:rsidR="00430D89">
        <w:t>n</w:t>
      </w:r>
      <w:r w:rsidRPr="004A7E5E">
        <w:t xml:space="preserve">otified </w:t>
      </w:r>
      <w:r w:rsidR="00430D89">
        <w:t>b</w:t>
      </w:r>
      <w:r w:rsidRPr="004A7E5E">
        <w:t>odies. A recent Team</w:t>
      </w:r>
      <w:r w:rsidR="00314FCB">
        <w:t>-</w:t>
      </w:r>
      <w:r w:rsidRPr="004A7E5E">
        <w:t xml:space="preserve">NB study demonstrated that the portfolio of small and micro enterprises among </w:t>
      </w:r>
      <w:r w:rsidR="00430D89">
        <w:t>n</w:t>
      </w:r>
      <w:r w:rsidRPr="004A7E5E">
        <w:t xml:space="preserve">otified </w:t>
      </w:r>
      <w:r w:rsidR="00430D89">
        <w:t>b</w:t>
      </w:r>
      <w:r w:rsidRPr="004A7E5E">
        <w:t>odies is over [77% of the clients of Team</w:t>
      </w:r>
      <w:r w:rsidR="00314FCB">
        <w:t>-</w:t>
      </w:r>
      <w:r w:rsidRPr="004A7E5E">
        <w:t>NB members (</w:t>
      </w:r>
      <w:hyperlink r:id="rId14" w:history="1">
        <w:r w:rsidRPr="004A7E5E">
          <w:t>PressRelease-Team-NB-20241024.pdf</w:t>
        </w:r>
      </w:hyperlink>
      <w:r w:rsidRPr="004A7E5E">
        <w:t xml:space="preserve">)], which means the vast majority of </w:t>
      </w:r>
      <w:r w:rsidR="00430D89">
        <w:t>n</w:t>
      </w:r>
      <w:r w:rsidRPr="004A7E5E">
        <w:t xml:space="preserve">otified </w:t>
      </w:r>
      <w:r w:rsidR="00430D89">
        <w:t>b</w:t>
      </w:r>
      <w:r w:rsidRPr="004A7E5E">
        <w:t xml:space="preserve">ody customer revenue will be impacted. If, for example, a manufacturer is required to spend some time generating additional </w:t>
      </w:r>
      <w:r w:rsidRPr="004A7E5E">
        <w:lastRenderedPageBreak/>
        <w:t xml:space="preserve">clinical data, it could be many months until a </w:t>
      </w:r>
      <w:r w:rsidR="00430D89">
        <w:t>n</w:t>
      </w:r>
      <w:r w:rsidRPr="004A7E5E">
        <w:t xml:space="preserve">otified </w:t>
      </w:r>
      <w:r w:rsidR="00C108BB">
        <w:t>b</w:t>
      </w:r>
      <w:r w:rsidRPr="004A7E5E">
        <w:t xml:space="preserve">ody is paid for the assessment work done. In that time, </w:t>
      </w:r>
      <w:r w:rsidR="00C108BB">
        <w:t>n</w:t>
      </w:r>
      <w:r w:rsidRPr="004A7E5E">
        <w:t xml:space="preserve">otified </w:t>
      </w:r>
      <w:r w:rsidR="00C108BB">
        <w:t>b</w:t>
      </w:r>
      <w:r w:rsidRPr="004A7E5E">
        <w:t xml:space="preserve">odies still need to pay staff, and meet operational expenses. Many </w:t>
      </w:r>
      <w:r w:rsidR="00C108BB">
        <w:t>n</w:t>
      </w:r>
      <w:r w:rsidRPr="004A7E5E">
        <w:t xml:space="preserve">otified </w:t>
      </w:r>
      <w:r w:rsidR="00C108BB">
        <w:t>b</w:t>
      </w:r>
      <w:r w:rsidRPr="004A7E5E">
        <w:t>odies simply do not have the cash reserves to make ends meet during this time.</w:t>
      </w:r>
    </w:p>
    <w:p w14:paraId="74D4B3CA" w14:textId="6735A10A" w:rsidR="00077F39" w:rsidRPr="004A7E5E" w:rsidRDefault="00077F39" w:rsidP="00700B94">
      <w:pPr>
        <w:pStyle w:val="Paragraphedeliste"/>
        <w:numPr>
          <w:ilvl w:val="0"/>
          <w:numId w:val="45"/>
        </w:numPr>
      </w:pPr>
      <w:r w:rsidRPr="004A7E5E">
        <w:t xml:space="preserve">Second, empowering the Commission to set the level and structure of fees undermines an otherwise functioning competitive market, without clear evidence of price-driven market failure – particularly where </w:t>
      </w:r>
      <w:r w:rsidR="00C108BB">
        <w:t>n</w:t>
      </w:r>
      <w:r w:rsidRPr="004A7E5E">
        <w:t xml:space="preserve">otified </w:t>
      </w:r>
      <w:r w:rsidR="00C108BB">
        <w:t>b</w:t>
      </w:r>
      <w:r w:rsidRPr="004A7E5E">
        <w:t>ody fees are estimated to constitute ca &lt;7% of manufacturers’ total regulatory costs (</w:t>
      </w:r>
      <w:hyperlink r:id="rId15" w:history="1">
        <w:r w:rsidRPr="004A7E5E">
          <w:t>mte-ivdr-mdr-survey-report-highlights-march.2025.pdf</w:t>
        </w:r>
      </w:hyperlink>
      <w:r w:rsidRPr="004A7E5E">
        <w:t xml:space="preserve">). All measures should be a proportionate response and follow a reliable market analysis, which would include an assessment of the downstream consequences of any pricing regulation. Due consideration should be given to both the implications of reduced </w:t>
      </w:r>
      <w:r w:rsidR="00C108BB">
        <w:t>n</w:t>
      </w:r>
      <w:r w:rsidRPr="004A7E5E">
        <w:t xml:space="preserve">otified </w:t>
      </w:r>
      <w:r w:rsidR="00C108BB">
        <w:t>b</w:t>
      </w:r>
      <w:r w:rsidRPr="004A7E5E">
        <w:t>ody capacity and the loss of a highly specialised skill set from the EU jurisdiction.</w:t>
      </w:r>
    </w:p>
    <w:p w14:paraId="1F0244CB" w14:textId="77777777" w:rsidR="00077F39" w:rsidRPr="004A7E5E" w:rsidRDefault="00077F39" w:rsidP="00077F39">
      <w:pPr>
        <w:spacing w:after="60" w:line="276" w:lineRule="auto"/>
        <w:ind w:left="720"/>
        <w:rPr>
          <w:szCs w:val="22"/>
        </w:rPr>
      </w:pPr>
    </w:p>
    <w:p w14:paraId="3515F5B1" w14:textId="45AE208E" w:rsidR="00077F39" w:rsidRPr="004A7E5E" w:rsidRDefault="00077F39" w:rsidP="0024535D">
      <w:r w:rsidRPr="004A7E5E">
        <w:t xml:space="preserve">It is worth noting that today </w:t>
      </w:r>
      <w:r w:rsidR="00C108BB">
        <w:t>n</w:t>
      </w:r>
      <w:r w:rsidRPr="004A7E5E">
        <w:t xml:space="preserve">otified </w:t>
      </w:r>
      <w:r w:rsidR="00C108BB">
        <w:t>b</w:t>
      </w:r>
      <w:r w:rsidRPr="004A7E5E">
        <w:t xml:space="preserve">odies are required to publish their fees and manufacturers routines request multiple proposals to compare costs and assess services, driving competition and keeping costs at a minimum. Complaints usually arise due to the accumulating costs where the submissions by manufacturers do not meet the Regulatory requirements, in a background of considerable regulatory costs (approaching 90% on the manufacturer’s personnel costs; </w:t>
      </w:r>
      <w:hyperlink r:id="rId16" w:history="1">
        <w:r w:rsidRPr="004A7E5E">
          <w:t>mte-ivdr-mdr-survey-report-highlights-march.2025.pdf</w:t>
        </w:r>
      </w:hyperlink>
      <w:r w:rsidRPr="004A7E5E">
        <w:t>).</w:t>
      </w:r>
    </w:p>
    <w:p w14:paraId="267F47E4" w14:textId="77777777" w:rsidR="00077F39" w:rsidRPr="004A7E5E" w:rsidRDefault="00077F39" w:rsidP="00077F39">
      <w:pPr>
        <w:spacing w:after="60" w:line="276" w:lineRule="auto"/>
        <w:ind w:left="720"/>
        <w:rPr>
          <w:szCs w:val="22"/>
        </w:rPr>
      </w:pPr>
    </w:p>
    <w:p w14:paraId="7BF5BF54" w14:textId="77777777" w:rsidR="00077F39" w:rsidRPr="0024535D" w:rsidRDefault="00077F39" w:rsidP="0024535D">
      <w:pPr>
        <w:keepNext/>
        <w:keepLines/>
        <w:spacing w:before="40" w:after="0" w:line="256" w:lineRule="auto"/>
        <w:outlineLvl w:val="3"/>
        <w:rPr>
          <w:rFonts w:cs="Times New Roman"/>
          <w:i/>
          <w:color w:val="2F5496" w:themeColor="accent1" w:themeShade="BF"/>
          <w:lang w:eastAsia="en-GB"/>
        </w:rPr>
      </w:pPr>
      <w:bookmarkStart w:id="437" w:name="_Toc224205016"/>
      <w:r w:rsidRPr="0024535D">
        <w:rPr>
          <w:rFonts w:eastAsia="Times New Roman" w:cs="Times New Roman"/>
          <w:i/>
          <w:iCs w:val="0"/>
          <w:color w:val="2F5496" w:themeColor="accent1" w:themeShade="BF"/>
          <w:lang w:eastAsia="en-GB"/>
        </w:rPr>
        <w:t>Downstream Impact</w:t>
      </w:r>
      <w:bookmarkEnd w:id="437"/>
    </w:p>
    <w:p w14:paraId="1DBA00FD" w14:textId="41706E12" w:rsidR="00077F39" w:rsidRPr="004A7E5E" w:rsidRDefault="00077F39" w:rsidP="0024535D">
      <w:r w:rsidRPr="004A7E5E">
        <w:t xml:space="preserve">The down steam impact of higher costs for </w:t>
      </w:r>
      <w:r w:rsidR="00C108BB">
        <w:t>n</w:t>
      </w:r>
      <w:r w:rsidRPr="004A7E5E">
        <w:t xml:space="preserve">otified </w:t>
      </w:r>
      <w:r w:rsidR="00C108BB">
        <w:t>b</w:t>
      </w:r>
      <w:r w:rsidRPr="004A7E5E">
        <w:t xml:space="preserve">odies, constrained pricing and financial unpredictability will accelerate consolidation, deter new entrants, and drive </w:t>
      </w:r>
      <w:r w:rsidR="00C108BB">
        <w:t>n</w:t>
      </w:r>
      <w:r w:rsidRPr="004A7E5E">
        <w:t xml:space="preserve">otified </w:t>
      </w:r>
      <w:r w:rsidR="00C108BB">
        <w:t>b</w:t>
      </w:r>
      <w:r w:rsidRPr="004A7E5E">
        <w:t xml:space="preserve">odies out of the market. The impact will be critical: bottlenecks, reduced capacity, and higher staff turnover due to inadequate remuneration. It is worth noting that within the past 5 years’ the Commission itself has raised concerns about </w:t>
      </w:r>
      <w:r w:rsidR="00C108BB">
        <w:t>n</w:t>
      </w:r>
      <w:r w:rsidRPr="004A7E5E">
        <w:t xml:space="preserve">otified </w:t>
      </w:r>
      <w:r w:rsidR="00C108BB">
        <w:t>b</w:t>
      </w:r>
      <w:r w:rsidRPr="004A7E5E">
        <w:t xml:space="preserve">ody capacity, leading to extended transition timelines for the implementation of the new Regulations, as well as direct investment in </w:t>
      </w:r>
      <w:r w:rsidR="008D4BC9">
        <w:t>n</w:t>
      </w:r>
      <w:r w:rsidRPr="004A7E5E">
        <w:t xml:space="preserve">otified </w:t>
      </w:r>
      <w:r w:rsidR="008D4BC9">
        <w:t>b</w:t>
      </w:r>
      <w:r w:rsidRPr="004A7E5E">
        <w:t>ody capacity in a number of EU member states. Thus, the measures stated herein contradict former positions and the proposal’s stated objectives of improving availability of medical devices and patient safety.</w:t>
      </w:r>
    </w:p>
    <w:p w14:paraId="03C4ACFA" w14:textId="0AD698D3" w:rsidR="00077F39" w:rsidRPr="004A7E5E" w:rsidRDefault="00077F39" w:rsidP="0024535D">
      <w:r w:rsidRPr="004A7E5E">
        <w:t xml:space="preserve">The resultant reduction and consolidation of </w:t>
      </w:r>
      <w:r w:rsidR="008D4BC9">
        <w:t>n</w:t>
      </w:r>
      <w:r w:rsidRPr="004A7E5E">
        <w:t xml:space="preserve">otified </w:t>
      </w:r>
      <w:r w:rsidR="008D4BC9">
        <w:t>b</w:t>
      </w:r>
      <w:r w:rsidRPr="004A7E5E">
        <w:t xml:space="preserve">odies, and a sector shift away from the European market, will also erode the EU’s competitiveness in the MedTech sector. The EU has gone from the jurisdiction of choice for market launch to a 3rd or 4th in line market, as the costs rise for approval under the Regulations and EU businesses are disproportionately impacted. If </w:t>
      </w:r>
      <w:r w:rsidR="008D4BC9">
        <w:t>n</w:t>
      </w:r>
      <w:r w:rsidRPr="004A7E5E">
        <w:t xml:space="preserve">otified </w:t>
      </w:r>
      <w:r w:rsidR="008D4BC9">
        <w:t>b</w:t>
      </w:r>
      <w:r w:rsidRPr="004A7E5E">
        <w:t>odies are to serve the public interest, they must be financially sustainable, with regulatory oversight that is proportionate, predictable, and evidence</w:t>
      </w:r>
      <w:r w:rsidRPr="004A7E5E">
        <w:noBreakHyphen/>
        <w:t>based.</w:t>
      </w:r>
    </w:p>
    <w:p w14:paraId="2B2C95BD" w14:textId="019777DA" w:rsidR="00077F39" w:rsidRPr="004A7E5E" w:rsidRDefault="00077F39" w:rsidP="0024535D">
      <w:r w:rsidRPr="004A7E5E">
        <w:t xml:space="preserve">Fundamentally, there is no </w:t>
      </w:r>
      <w:r w:rsidR="008D4BC9">
        <w:t>n</w:t>
      </w:r>
      <w:r w:rsidRPr="004A7E5E">
        <w:t xml:space="preserve">otified </w:t>
      </w:r>
      <w:r w:rsidR="008D4BC9">
        <w:t>b</w:t>
      </w:r>
      <w:r w:rsidRPr="004A7E5E">
        <w:t>ody “fee problem” that requires solving: the Commissions’ proposal does not present a sufficiently detailed impact analysis or substantive proportionality argumentation, to support the position taken in proposed Article 50.</w:t>
      </w:r>
    </w:p>
    <w:p w14:paraId="68793FDC" w14:textId="77777777" w:rsidR="00077F39" w:rsidRPr="004A7E5E" w:rsidRDefault="00077F39" w:rsidP="00077F39">
      <w:pPr>
        <w:spacing w:after="60" w:line="276" w:lineRule="auto"/>
        <w:ind w:left="720"/>
        <w:rPr>
          <w:szCs w:val="22"/>
          <w:lang w:val="en-US"/>
        </w:rPr>
      </w:pPr>
    </w:p>
    <w:p w14:paraId="0E93D0B6" w14:textId="77777777" w:rsidR="00077F39" w:rsidRPr="0024535D" w:rsidRDefault="00077F39" w:rsidP="0024535D">
      <w:pPr>
        <w:keepNext/>
        <w:keepLines/>
        <w:spacing w:before="40" w:after="0" w:line="256" w:lineRule="auto"/>
        <w:outlineLvl w:val="3"/>
        <w:rPr>
          <w:rFonts w:cs="Times New Roman"/>
          <w:i/>
          <w:color w:val="2F5496" w:themeColor="accent1" w:themeShade="BF"/>
        </w:rPr>
      </w:pPr>
      <w:bookmarkStart w:id="438" w:name="_Toc224205017"/>
      <w:r w:rsidRPr="0024535D">
        <w:rPr>
          <w:rFonts w:eastAsia="Times New Roman" w:cs="Times New Roman"/>
          <w:i/>
          <w:iCs w:val="0"/>
          <w:color w:val="2F5496" w:themeColor="accent1" w:themeShade="BF"/>
        </w:rPr>
        <w:t>Alternative Solution</w:t>
      </w:r>
      <w:bookmarkEnd w:id="438"/>
    </w:p>
    <w:p w14:paraId="4CA048BE" w14:textId="0500F7BA" w:rsidR="00C85053" w:rsidRDefault="00077F39" w:rsidP="0024535D">
      <w:r w:rsidRPr="004A7E5E">
        <w:t xml:space="preserve">The proposed alternative measures listed below provide a balanced solution. They allow </w:t>
      </w:r>
      <w:r w:rsidR="008D4BC9">
        <w:t>n</w:t>
      </w:r>
      <w:r w:rsidRPr="004A7E5E">
        <w:t xml:space="preserve">otified </w:t>
      </w:r>
      <w:r w:rsidR="008D4BC9">
        <w:t>b</w:t>
      </w:r>
      <w:r w:rsidRPr="004A7E5E">
        <w:t>odies to absorb necessary cost increases without triggering system</w:t>
      </w:r>
      <w:r w:rsidRPr="004A7E5E">
        <w:noBreakHyphen/>
        <w:t>wide failure, while preserving competition, capacity, and access to safe medical devices across the EU.</w:t>
      </w:r>
      <w:r w:rsidR="00C85053">
        <w:t xml:space="preserve"> </w:t>
      </w:r>
    </w:p>
    <w:p w14:paraId="76BB8578" w14:textId="54B20615" w:rsidR="00B572B7" w:rsidRPr="0024535D" w:rsidRDefault="00C85053" w:rsidP="0024535D">
      <w:pPr>
        <w:rPr>
          <w:i/>
        </w:rPr>
      </w:pPr>
      <w:r w:rsidRPr="0024535D">
        <w:rPr>
          <w:i/>
        </w:rPr>
        <w:lastRenderedPageBreak/>
        <w:t>Note: many of these measures affect both the MDR and IVDR, even if only the MDR Article or Annex has been listed.</w:t>
      </w:r>
    </w:p>
    <w:p w14:paraId="6A0B89CE" w14:textId="7DF79153" w:rsidR="005B4D75" w:rsidRPr="004A7E5E" w:rsidRDefault="005B4D75" w:rsidP="00700B94">
      <w:pPr>
        <w:pStyle w:val="Titre2"/>
        <w:numPr>
          <w:ilvl w:val="1"/>
          <w:numId w:val="56"/>
        </w:numPr>
      </w:pPr>
      <w:bookmarkStart w:id="439" w:name="_Toc224205018"/>
      <w:bookmarkStart w:id="440" w:name="_Toc226533716"/>
      <w:r w:rsidRPr="004A7E5E">
        <w:t>Change in NB Monitoring and Surveillance</w:t>
      </w:r>
      <w:bookmarkEnd w:id="439"/>
      <w:bookmarkEnd w:id="440"/>
    </w:p>
    <w:p w14:paraId="57B281B8" w14:textId="77777777" w:rsidR="005B4D75" w:rsidRPr="0024535D" w:rsidRDefault="005B4D75" w:rsidP="0024535D">
      <w:pPr>
        <w:keepNext/>
        <w:keepLines/>
        <w:spacing w:before="40" w:after="0" w:line="256" w:lineRule="auto"/>
        <w:outlineLvl w:val="3"/>
        <w:rPr>
          <w:rFonts w:cs="Times New Roman"/>
          <w:i/>
          <w:color w:val="2F5496" w:themeColor="accent1" w:themeShade="BF"/>
        </w:rPr>
      </w:pPr>
      <w:bookmarkStart w:id="441" w:name="_Toc224205019"/>
      <w:r w:rsidRPr="0024535D">
        <w:rPr>
          <w:rFonts w:eastAsia="Times New Roman" w:cs="Times New Roman"/>
          <w:i/>
          <w:iCs w:val="0"/>
          <w:color w:val="2F5496" w:themeColor="accent1" w:themeShade="BF"/>
        </w:rPr>
        <w:t>Overview</w:t>
      </w:r>
      <w:bookmarkEnd w:id="441"/>
    </w:p>
    <w:p w14:paraId="76276088" w14:textId="77777777" w:rsidR="005B4D75" w:rsidRPr="004A7E5E" w:rsidRDefault="005B4D75" w:rsidP="00700B94">
      <w:pPr>
        <w:pStyle w:val="Paragraphedeliste"/>
        <w:numPr>
          <w:ilvl w:val="0"/>
          <w:numId w:val="46"/>
        </w:numPr>
      </w:pPr>
      <w:r w:rsidRPr="004A7E5E">
        <w:t>Ensure proportionate surveillance that prevents duplication and inefficiencies, focusing resources on medical device innovation and safety.</w:t>
      </w:r>
    </w:p>
    <w:p w14:paraId="5FAF48CD" w14:textId="613825D5" w:rsidR="005B4D75" w:rsidRPr="004A7E5E" w:rsidRDefault="005B4D75" w:rsidP="00700B94">
      <w:pPr>
        <w:pStyle w:val="Paragraphedeliste"/>
        <w:numPr>
          <w:ilvl w:val="0"/>
          <w:numId w:val="46"/>
        </w:numPr>
      </w:pPr>
      <w:r w:rsidRPr="004A7E5E">
        <w:t xml:space="preserve">Promote harmonisation in a structured manner, without leading to ambiguity and “limbo” situations for </w:t>
      </w:r>
      <w:r w:rsidR="008D4BC9">
        <w:t>n</w:t>
      </w:r>
      <w:r w:rsidRPr="004A7E5E">
        <w:t xml:space="preserve">otified </w:t>
      </w:r>
      <w:r w:rsidR="008D4BC9">
        <w:t>b</w:t>
      </w:r>
      <w:r w:rsidRPr="004A7E5E">
        <w:t>odies that undermine public confidence.</w:t>
      </w:r>
    </w:p>
    <w:p w14:paraId="6288C300" w14:textId="77777777" w:rsidR="005B4D75" w:rsidRPr="004A7E5E" w:rsidRDefault="005B4D75" w:rsidP="005B4D75">
      <w:pPr>
        <w:spacing w:after="200" w:line="276" w:lineRule="auto"/>
        <w:rPr>
          <w:rFonts w:cs="Arial"/>
          <w:sz w:val="20"/>
          <w:szCs w:val="20"/>
        </w:rPr>
      </w:pPr>
    </w:p>
    <w:p w14:paraId="33ADD1BC" w14:textId="3B21B036" w:rsidR="005B4D75" w:rsidRPr="0024535D" w:rsidRDefault="005B4D75" w:rsidP="0024535D">
      <w:pPr>
        <w:keepNext/>
        <w:keepLines/>
        <w:spacing w:before="40" w:after="0" w:line="256" w:lineRule="auto"/>
        <w:outlineLvl w:val="3"/>
        <w:rPr>
          <w:rFonts w:cs="Times New Roman"/>
          <w:i/>
          <w:color w:val="2F5496" w:themeColor="accent1" w:themeShade="BF"/>
        </w:rPr>
      </w:pPr>
      <w:bookmarkStart w:id="442" w:name="_Toc224205020"/>
      <w:r w:rsidRPr="0024535D">
        <w:rPr>
          <w:rFonts w:eastAsia="Times New Roman" w:cs="Times New Roman"/>
          <w:i/>
          <w:iCs w:val="0"/>
          <w:color w:val="2F5496" w:themeColor="accent1" w:themeShade="BF"/>
        </w:rPr>
        <w:t xml:space="preserve">Monitoring and surveillance of the proposed changes and their impact on </w:t>
      </w:r>
      <w:r w:rsidR="00601A23">
        <w:rPr>
          <w:rFonts w:eastAsia="Times New Roman" w:cs="Times New Roman"/>
          <w:i/>
          <w:iCs w:val="0"/>
          <w:color w:val="2F5496" w:themeColor="accent1" w:themeShade="BF"/>
        </w:rPr>
        <w:t>n</w:t>
      </w:r>
      <w:r w:rsidRPr="0024535D">
        <w:rPr>
          <w:rFonts w:eastAsia="Times New Roman" w:cs="Times New Roman"/>
          <w:i/>
          <w:iCs w:val="0"/>
          <w:color w:val="2F5496" w:themeColor="accent1" w:themeShade="BF"/>
        </w:rPr>
        <w:t xml:space="preserve">otified </w:t>
      </w:r>
      <w:r w:rsidR="00601A23">
        <w:rPr>
          <w:rFonts w:eastAsia="Times New Roman" w:cs="Times New Roman"/>
          <w:i/>
          <w:iCs w:val="0"/>
          <w:color w:val="2F5496" w:themeColor="accent1" w:themeShade="BF"/>
        </w:rPr>
        <w:t>b</w:t>
      </w:r>
      <w:r w:rsidRPr="0024535D">
        <w:rPr>
          <w:rFonts w:eastAsia="Times New Roman" w:cs="Times New Roman"/>
          <w:i/>
          <w:iCs w:val="0"/>
          <w:color w:val="2F5496" w:themeColor="accent1" w:themeShade="BF"/>
        </w:rPr>
        <w:t>odies</w:t>
      </w:r>
      <w:bookmarkEnd w:id="442"/>
      <w:r w:rsidRPr="0024535D">
        <w:rPr>
          <w:rFonts w:eastAsia="Times New Roman" w:cs="Times New Roman"/>
          <w:i/>
          <w:iCs w:val="0"/>
          <w:color w:val="2F5496" w:themeColor="accent1" w:themeShade="BF"/>
        </w:rPr>
        <w:t xml:space="preserve"> </w:t>
      </w:r>
    </w:p>
    <w:p w14:paraId="2E53E101" w14:textId="312B45F7" w:rsidR="005B4D75" w:rsidRPr="004A7E5E" w:rsidRDefault="005B4D75" w:rsidP="0024535D">
      <w:r w:rsidRPr="004A7E5E">
        <w:t xml:space="preserve">The proposed amendments to Article 44 of the MDR intensify the monitoring and Joint Assessment framework for </w:t>
      </w:r>
      <w:r w:rsidR="00601A23">
        <w:t>n</w:t>
      </w:r>
      <w:r w:rsidRPr="004A7E5E">
        <w:t xml:space="preserve">otified </w:t>
      </w:r>
      <w:r w:rsidR="00601A23">
        <w:t>b</w:t>
      </w:r>
      <w:r w:rsidRPr="004A7E5E">
        <w:t xml:space="preserve">odies through biennial Joint Assessments. While these measures are intended to enhance harmonisation and confidence in the conformity assessment system, their cumulative effect raises serious concerns regarding proportionality, legal certainty, and the long-term operational and financial sustainability of </w:t>
      </w:r>
      <w:r w:rsidR="00601A23">
        <w:t>n</w:t>
      </w:r>
      <w:r w:rsidRPr="004A7E5E">
        <w:t xml:space="preserve">otified </w:t>
      </w:r>
      <w:r w:rsidR="00601A23">
        <w:t>b</w:t>
      </w:r>
      <w:r w:rsidRPr="004A7E5E">
        <w:t xml:space="preserve">odies. </w:t>
      </w:r>
    </w:p>
    <w:p w14:paraId="62EBB6AF" w14:textId="1D8F29A5" w:rsidR="005B4D75" w:rsidRPr="004A7E5E" w:rsidRDefault="005B4D75" w:rsidP="0024535D">
      <w:r w:rsidRPr="004A7E5E">
        <w:t xml:space="preserve">The removal of the five-year full re-designation is a positive development as the delay between Joint Assessments can lead to drift between interpretations of Competent Authorities. The biennial approach promotes harmonisation and removes any “shock” at the 5 year full re-assessment. However, this benefit is offset by the proposal to conduct Joint Assessments every two years and there is concern over the timelines given delays in issuing and following up on findings raised during Joint Assessments, particularly where there is difference of opinion between team members. In practice, this proposed change implements a near-continuous and overlapping oversight regime, monopolising significant resources and capacity away from core conformity assessment activities and other designation management activities, including adapting to regulatory change.  </w:t>
      </w:r>
    </w:p>
    <w:p w14:paraId="07CC30D1" w14:textId="0879C56C" w:rsidR="005B4D75" w:rsidRPr="004A7E5E" w:rsidRDefault="005B4D75" w:rsidP="0024535D">
      <w:r w:rsidRPr="004A7E5E">
        <w:t xml:space="preserve">Experience under the current framework demonstrates that diverging opinions and approvals on corrective and preventive actions often remain unresolved for more than two years. As a result, implementing a two-year Joint assessment cycle risks creating a perpetual CAPA loop for </w:t>
      </w:r>
      <w:r w:rsidR="00965AD3">
        <w:t>n</w:t>
      </w:r>
      <w:r w:rsidRPr="004A7E5E">
        <w:t xml:space="preserve">otified </w:t>
      </w:r>
      <w:r w:rsidR="00965AD3">
        <w:t>b</w:t>
      </w:r>
      <w:r w:rsidRPr="004A7E5E">
        <w:t xml:space="preserve">odies, Designating Authorities and the European Commission. This would demand continuous capacity and timely engagement from all involved parties, increasing the likelihood of systemic delays and prolonged uncertainty. </w:t>
      </w:r>
    </w:p>
    <w:p w14:paraId="3F798237" w14:textId="295404A3" w:rsidR="005B4D75" w:rsidRPr="004A7E5E" w:rsidRDefault="005B4D75" w:rsidP="0024535D">
      <w:r w:rsidRPr="004A7E5E">
        <w:t xml:space="preserve">Importantly, the more frequent Joint Assessment regime does not replace existing oversight but adds to it. Notified </w:t>
      </w:r>
      <w:r w:rsidR="00965AD3">
        <w:t>b</w:t>
      </w:r>
      <w:r w:rsidRPr="004A7E5E">
        <w:t xml:space="preserve">odies are already subject to annual surveillance, witness audits, and other supervisory activities by national authorities. Adding biennial Joint Assessments, even if these have partial scope, increases duplication and disruption: rotating Joint Assessment audits require </w:t>
      </w:r>
      <w:r w:rsidR="00965AD3">
        <w:t>n</w:t>
      </w:r>
      <w:r w:rsidRPr="004A7E5E">
        <w:t xml:space="preserve">otified </w:t>
      </w:r>
      <w:r w:rsidR="00965AD3">
        <w:t>b</w:t>
      </w:r>
      <w:r w:rsidRPr="004A7E5E">
        <w:t xml:space="preserve">odies to repeatedly re-explain foundational elements of their systems, structures, and interpretations of the Regulations and would only tend towards harmonisation where replacing national competent authority surveillance. Otherwise, repetition adds limited incremental oversight value and, in practice, reduces efficiency, consistency, and regulatory focus that risks undermining the capacity and stability of the conformity assessment system as a whole. </w:t>
      </w:r>
    </w:p>
    <w:p w14:paraId="33854BFA" w14:textId="08331501" w:rsidR="005B4D75" w:rsidRPr="004A7E5E" w:rsidRDefault="005B4D75" w:rsidP="0024535D">
      <w:r w:rsidRPr="004A7E5E">
        <w:t xml:space="preserve">Note: Notified </w:t>
      </w:r>
      <w:r w:rsidR="00965AD3">
        <w:t>b</w:t>
      </w:r>
      <w:r w:rsidRPr="004A7E5E">
        <w:t xml:space="preserve">odies should not be required to finance the participation, training, or capacity building of Joint Assessment Team members. Where the Union framework requires Joint Assessments, any related training and operational preparedness of assessors should be funded </w:t>
      </w:r>
      <w:r w:rsidRPr="004A7E5E">
        <w:lastRenderedPageBreak/>
        <w:t xml:space="preserve">and organised by the competent public authorities (Commission/Member States) and not cross-subsidised via </w:t>
      </w:r>
      <w:r w:rsidR="00965AD3">
        <w:t>n</w:t>
      </w:r>
      <w:r w:rsidRPr="004A7E5E">
        <w:t xml:space="preserve">otified </w:t>
      </w:r>
      <w:r w:rsidR="00965AD3">
        <w:t>b</w:t>
      </w:r>
      <w:r w:rsidRPr="004A7E5E">
        <w:t>ody fees.</w:t>
      </w:r>
    </w:p>
    <w:p w14:paraId="1BC0810D" w14:textId="77777777" w:rsidR="005B4D75" w:rsidRPr="004A7E5E" w:rsidRDefault="005B4D75" w:rsidP="005B4D75"/>
    <w:p w14:paraId="43239149" w14:textId="77777777" w:rsidR="005B4D75" w:rsidRPr="0024535D" w:rsidRDefault="005B4D75" w:rsidP="0024535D">
      <w:pPr>
        <w:keepNext/>
        <w:keepLines/>
        <w:spacing w:before="40" w:after="0" w:line="256" w:lineRule="auto"/>
        <w:outlineLvl w:val="3"/>
        <w:rPr>
          <w:rFonts w:cs="Times New Roman"/>
          <w:i/>
          <w:color w:val="2F5496" w:themeColor="accent1" w:themeShade="BF"/>
        </w:rPr>
      </w:pPr>
      <w:bookmarkStart w:id="443" w:name="_Toc224205021"/>
      <w:r w:rsidRPr="0024535D">
        <w:rPr>
          <w:rFonts w:eastAsia="Times New Roman" w:cs="Times New Roman"/>
          <w:i/>
          <w:iCs w:val="0"/>
          <w:color w:val="2F5496" w:themeColor="accent1" w:themeShade="BF"/>
        </w:rPr>
        <w:t>Downstream Impact</w:t>
      </w:r>
      <w:bookmarkEnd w:id="443"/>
    </w:p>
    <w:p w14:paraId="468974E3" w14:textId="0FCDCC0D" w:rsidR="005B4D75" w:rsidRPr="004A7E5E" w:rsidRDefault="005B4D75" w:rsidP="0024535D">
      <w:r w:rsidRPr="004A7E5E">
        <w:t xml:space="preserve">The down steam impact of the increased surveillance, which risks locking </w:t>
      </w:r>
      <w:r w:rsidR="00965AD3">
        <w:t>n</w:t>
      </w:r>
      <w:r w:rsidRPr="004A7E5E">
        <w:t xml:space="preserve">otified </w:t>
      </w:r>
      <w:r w:rsidR="00965AD3">
        <w:t>b</w:t>
      </w:r>
      <w:r w:rsidRPr="004A7E5E">
        <w:t xml:space="preserve">odies, Competent Authorities, Joint Assessment Teams, and the Commission into a recurring, resource-intensive surveillance cycle and disputes around diverging opinions and overlapping/contradicting findings, and that duplicates and potentially contradicts activities, with questionable added value, is a risk to patient safety. The mandatory two-year Joint Assessment running along-side existing national oversight, raises material concerns regarding proportionality, efficiency, and long-term system sustainability. </w:t>
      </w:r>
    </w:p>
    <w:p w14:paraId="2255FA5D" w14:textId="77777777" w:rsidR="005B4D75" w:rsidRPr="004A7E5E" w:rsidRDefault="005B4D75" w:rsidP="005B4D75">
      <w:pPr>
        <w:rPr>
          <w:rFonts w:cs="Arial"/>
          <w:b/>
          <w:bCs/>
          <w:i/>
          <w:iCs w:val="0"/>
          <w:sz w:val="20"/>
          <w:szCs w:val="20"/>
        </w:rPr>
      </w:pPr>
    </w:p>
    <w:p w14:paraId="577289B7" w14:textId="77777777" w:rsidR="005B4D75" w:rsidRPr="004A7E5E" w:rsidRDefault="005B4D75" w:rsidP="0024535D">
      <w:pPr>
        <w:keepNext/>
        <w:keepLines/>
        <w:spacing w:before="40" w:after="0" w:line="256" w:lineRule="auto"/>
        <w:outlineLvl w:val="3"/>
      </w:pPr>
      <w:bookmarkStart w:id="444" w:name="_Toc224205022"/>
      <w:r w:rsidRPr="0024535D">
        <w:rPr>
          <w:rFonts w:eastAsia="Times New Roman" w:cs="Times New Roman"/>
          <w:i/>
          <w:iCs w:val="0"/>
          <w:color w:val="2F5496" w:themeColor="accent1" w:themeShade="BF"/>
        </w:rPr>
        <w:t>Alternative Solution</w:t>
      </w:r>
      <w:bookmarkEnd w:id="444"/>
    </w:p>
    <w:p w14:paraId="43A73EC9" w14:textId="4FAF5DFB" w:rsidR="00AE43BC" w:rsidRDefault="005B4D75">
      <w:r w:rsidRPr="004A7E5E">
        <w:t xml:space="preserve">The proposed alternative measures are based on a risk- and performance-based hybrid oversight model - combining desk-based reviews with targeted “for cause” on-site assessments – that would provide a more proportionate and sustainable solution, without compromising on the value of surveillance. </w:t>
      </w:r>
    </w:p>
    <w:p w14:paraId="0CFF0028" w14:textId="77777777" w:rsidR="00CB668C" w:rsidRPr="004A7E5E" w:rsidRDefault="00CB668C" w:rsidP="0024535D"/>
    <w:p w14:paraId="645901A1" w14:textId="77777777" w:rsidR="005B4D75" w:rsidRPr="0024535D" w:rsidRDefault="005B4D75" w:rsidP="00700B94">
      <w:pPr>
        <w:pStyle w:val="Paragraphedeliste"/>
        <w:numPr>
          <w:ilvl w:val="0"/>
          <w:numId w:val="5"/>
        </w:numPr>
        <w:rPr>
          <w:i/>
          <w:iCs w:val="0"/>
        </w:rPr>
      </w:pPr>
      <w:bookmarkStart w:id="445" w:name="_Toc224205023"/>
      <w:r w:rsidRPr="0024535D">
        <w:rPr>
          <w:i/>
          <w:iCs w:val="0"/>
        </w:rPr>
        <w:t>Model 1 – “for cause” Joint Assessments</w:t>
      </w:r>
      <w:bookmarkEnd w:id="445"/>
    </w:p>
    <w:p w14:paraId="45A06544" w14:textId="77777777" w:rsidR="005B4D75" w:rsidRPr="004A7E5E" w:rsidRDefault="005B4D75" w:rsidP="0024535D">
      <w:r w:rsidRPr="004A7E5E">
        <w:t xml:space="preserve">In this model, Joint Assessments would be triggered by clearly defined criteria, such as major systemic nonconformities, significant scope extensions, or substantial organisational changes. National surveillance would continue on an annual basis. </w:t>
      </w:r>
    </w:p>
    <w:p w14:paraId="3559AB22" w14:textId="77777777" w:rsidR="005B4D75" w:rsidRPr="004A7E5E" w:rsidRDefault="005B4D75" w:rsidP="0024535D">
      <w:r w:rsidRPr="004A7E5E">
        <w:t>Harmonisation is primarily strengthened through common guidance, joint interpretation, targeted peer-learning, and risk-based “for-cause” oversight, making full use of knowledge already held at MDCG/Commission level from prior JAT designations and re-assessments, rather than duplicative monitoring cycles.</w:t>
      </w:r>
    </w:p>
    <w:p w14:paraId="4C07117D" w14:textId="77777777" w:rsidR="005B4D75" w:rsidRPr="004A7E5E" w:rsidRDefault="005B4D75" w:rsidP="005B4D75">
      <w:pPr>
        <w:spacing w:after="60" w:line="276" w:lineRule="auto"/>
        <w:ind w:left="720"/>
        <w:rPr>
          <w:szCs w:val="22"/>
        </w:rPr>
      </w:pPr>
    </w:p>
    <w:p w14:paraId="4636D5F5" w14:textId="77777777" w:rsidR="005B4D75" w:rsidRPr="0024535D" w:rsidRDefault="005B4D75" w:rsidP="00700B94">
      <w:pPr>
        <w:pStyle w:val="Paragraphedeliste"/>
        <w:numPr>
          <w:ilvl w:val="0"/>
          <w:numId w:val="5"/>
        </w:numPr>
        <w:rPr>
          <w:i/>
          <w:iCs w:val="0"/>
        </w:rPr>
      </w:pPr>
      <w:bookmarkStart w:id="446" w:name="_Toc224205024"/>
      <w:r w:rsidRPr="0024535D">
        <w:rPr>
          <w:i/>
          <w:iCs w:val="0"/>
        </w:rPr>
        <w:t>Model 2 – “for cause” national surveillance</w:t>
      </w:r>
      <w:bookmarkEnd w:id="446"/>
    </w:p>
    <w:p w14:paraId="40BAE0E9" w14:textId="77777777" w:rsidR="005B4D75" w:rsidRPr="004A7E5E" w:rsidRDefault="005B4D75" w:rsidP="0024535D">
      <w:r w:rsidRPr="004A7E5E">
        <w:t>In this model, the biennial Join Assessment is implemented and fully replaces national surveillance, except when triggered by defined criteria (see above) to avoid duplication, ensure proportionality. Re-designation/re-assessment Join Assessments would be abolished.</w:t>
      </w:r>
    </w:p>
    <w:p w14:paraId="5C531A5E" w14:textId="5CAB0587" w:rsidR="005B4D75" w:rsidRPr="004A7E5E" w:rsidRDefault="005B4D75" w:rsidP="0024535D">
      <w:r w:rsidRPr="004A7E5E">
        <w:t xml:space="preserve">Models 1 and 2 represent proportionate and efficient means to enhance harmonisation of </w:t>
      </w:r>
      <w:r w:rsidR="00965AD3">
        <w:t>n</w:t>
      </w:r>
      <w:r w:rsidRPr="004A7E5E">
        <w:t xml:space="preserve">otified </w:t>
      </w:r>
      <w:r w:rsidR="00965AD3">
        <w:t>b</w:t>
      </w:r>
      <w:r w:rsidRPr="004A7E5E">
        <w:t>ody practices preventing than increasing the frequency and cumulative burden of assessments.</w:t>
      </w:r>
    </w:p>
    <w:p w14:paraId="326DE6FF" w14:textId="77777777" w:rsidR="005B4D75" w:rsidRPr="004A7E5E" w:rsidRDefault="005B4D75" w:rsidP="005B4D75">
      <w:pPr>
        <w:spacing w:after="0"/>
        <w:rPr>
          <w:rFonts w:eastAsia="Calibri" w:cs="Arial"/>
          <w:sz w:val="20"/>
          <w:szCs w:val="20"/>
        </w:rPr>
      </w:pPr>
    </w:p>
    <w:p w14:paraId="221C9F8F" w14:textId="290604E4" w:rsidR="005B4D75" w:rsidRPr="004A7E5E" w:rsidRDefault="005B4D75" w:rsidP="00700B94">
      <w:pPr>
        <w:pStyle w:val="Titre2"/>
        <w:numPr>
          <w:ilvl w:val="1"/>
          <w:numId w:val="56"/>
        </w:numPr>
      </w:pPr>
      <w:bookmarkStart w:id="447" w:name="_Toc224205025"/>
      <w:bookmarkStart w:id="448" w:name="_Toc226533717"/>
      <w:r w:rsidRPr="004A7E5E">
        <w:t>Competency</w:t>
      </w:r>
      <w:bookmarkEnd w:id="447"/>
      <w:bookmarkEnd w:id="448"/>
    </w:p>
    <w:p w14:paraId="3F21F117" w14:textId="77777777" w:rsidR="005B4D75" w:rsidRPr="0024535D" w:rsidRDefault="005B4D75" w:rsidP="0024535D">
      <w:pPr>
        <w:keepNext/>
        <w:keepLines/>
        <w:spacing w:before="40" w:after="0" w:line="256" w:lineRule="auto"/>
        <w:outlineLvl w:val="3"/>
        <w:rPr>
          <w:rFonts w:cs="Times New Roman"/>
          <w:i/>
          <w:color w:val="2F5496" w:themeColor="accent1" w:themeShade="BF"/>
        </w:rPr>
      </w:pPr>
      <w:bookmarkStart w:id="449" w:name="_Toc224205026"/>
      <w:r w:rsidRPr="0024535D">
        <w:rPr>
          <w:rFonts w:eastAsia="Times New Roman" w:cs="Times New Roman"/>
          <w:i/>
          <w:iCs w:val="0"/>
          <w:color w:val="2F5496" w:themeColor="accent1" w:themeShade="BF"/>
        </w:rPr>
        <w:t>Overview</w:t>
      </w:r>
      <w:bookmarkEnd w:id="449"/>
    </w:p>
    <w:p w14:paraId="142AC56B" w14:textId="283C89D4" w:rsidR="005B4D75" w:rsidRPr="004A7E5E" w:rsidRDefault="005B4D75" w:rsidP="00700B94">
      <w:pPr>
        <w:pStyle w:val="Paragraphedeliste"/>
        <w:numPr>
          <w:ilvl w:val="0"/>
          <w:numId w:val="47"/>
        </w:numPr>
      </w:pPr>
      <w:r w:rsidRPr="004A7E5E">
        <w:t xml:space="preserve">Reduced </w:t>
      </w:r>
      <w:r w:rsidR="00965AD3">
        <w:t>n</w:t>
      </w:r>
      <w:r w:rsidRPr="004A7E5E">
        <w:t xml:space="preserve">otified </w:t>
      </w:r>
      <w:r w:rsidR="00965AD3">
        <w:t>b</w:t>
      </w:r>
      <w:r w:rsidRPr="004A7E5E">
        <w:t>ody activity (sampling, surveillance, reviews) conflicts with NBOG 2017</w:t>
      </w:r>
      <w:r w:rsidRPr="004A7E5E">
        <w:noBreakHyphen/>
        <w:t>2 expectations for maintaining state</w:t>
      </w:r>
      <w:r w:rsidRPr="004A7E5E">
        <w:noBreakHyphen/>
        <w:t>of</w:t>
      </w:r>
      <w:r w:rsidRPr="004A7E5E">
        <w:noBreakHyphen/>
        <w:t>the</w:t>
      </w:r>
      <w:r w:rsidRPr="004A7E5E">
        <w:noBreakHyphen/>
        <w:t xml:space="preserve">art competence through regular conformity assessment work. </w:t>
      </w:r>
    </w:p>
    <w:p w14:paraId="47E446FA" w14:textId="77777777" w:rsidR="005B4D75" w:rsidRPr="004A7E5E" w:rsidRDefault="005B4D75" w:rsidP="00700B94">
      <w:pPr>
        <w:pStyle w:val="Paragraphedeliste"/>
        <w:numPr>
          <w:ilvl w:val="0"/>
          <w:numId w:val="47"/>
        </w:numPr>
      </w:pPr>
      <w:r w:rsidRPr="004A7E5E">
        <w:lastRenderedPageBreak/>
        <w:t>Declining activity risks erosion of technical expertise, reduced availability for specialised codes, and certification bottlenecks that delay patient access to beneficial devices.</w:t>
      </w:r>
    </w:p>
    <w:p w14:paraId="1B83CC00" w14:textId="77777777" w:rsidR="005B4D75" w:rsidRPr="004A7E5E" w:rsidRDefault="005B4D75" w:rsidP="005B4D75">
      <w:pPr>
        <w:spacing w:after="200" w:line="276" w:lineRule="auto"/>
        <w:rPr>
          <w:rFonts w:cs="Arial"/>
          <w:sz w:val="20"/>
          <w:szCs w:val="20"/>
        </w:rPr>
      </w:pPr>
    </w:p>
    <w:p w14:paraId="2A35D40C" w14:textId="77777777" w:rsidR="005B4D75" w:rsidRPr="0024535D" w:rsidRDefault="005B4D75" w:rsidP="0024535D">
      <w:pPr>
        <w:keepNext/>
        <w:keepLines/>
        <w:spacing w:before="40" w:after="0" w:line="256" w:lineRule="auto"/>
        <w:outlineLvl w:val="3"/>
        <w:rPr>
          <w:rFonts w:cs="Times New Roman"/>
          <w:i/>
          <w:color w:val="2F5496" w:themeColor="accent1" w:themeShade="BF"/>
        </w:rPr>
      </w:pPr>
      <w:bookmarkStart w:id="450" w:name="_Toc224205027"/>
      <w:r w:rsidRPr="0024535D">
        <w:rPr>
          <w:rFonts w:eastAsia="Times New Roman" w:cs="Times New Roman"/>
          <w:i/>
          <w:iCs w:val="0"/>
          <w:color w:val="2F5496" w:themeColor="accent1" w:themeShade="BF"/>
        </w:rPr>
        <w:t>The interdependence of competency on conformity assessment activity volume</w:t>
      </w:r>
      <w:bookmarkEnd w:id="450"/>
      <w:r w:rsidRPr="0024535D">
        <w:rPr>
          <w:rFonts w:eastAsia="Times New Roman" w:cs="Times New Roman"/>
          <w:i/>
          <w:iCs w:val="0"/>
          <w:color w:val="2F5496" w:themeColor="accent1" w:themeShade="BF"/>
        </w:rPr>
        <w:t xml:space="preserve"> </w:t>
      </w:r>
    </w:p>
    <w:p w14:paraId="6E14A51A" w14:textId="691D7AA3" w:rsidR="005B4D75" w:rsidRPr="004A7E5E" w:rsidRDefault="005B4D75" w:rsidP="0024535D">
      <w:r w:rsidRPr="004A7E5E">
        <w:t xml:space="preserve">A reduction in </w:t>
      </w:r>
      <w:r w:rsidR="00965AD3">
        <w:t>n</w:t>
      </w:r>
      <w:r w:rsidRPr="004A7E5E">
        <w:t xml:space="preserve">otified </w:t>
      </w:r>
      <w:r w:rsidR="00965AD3">
        <w:t>b</w:t>
      </w:r>
      <w:r w:rsidRPr="004A7E5E">
        <w:t>ody involvement and oversight activities does not appear to align with existing expectations regarding the maintenance of state-of-the-art competence. In particular, the NBOG 2017-2 guidance (current and draft) emphasises that assessors must maintain up-to-date technical knowledge through a minimum number of conformity assessment activities per scope code and per individual. Competence under the MDR/IVDR framework is therefore not static or purely qualification</w:t>
      </w:r>
      <w:r w:rsidRPr="004A7E5E">
        <w:noBreakHyphen/>
        <w:t>based; it is activity</w:t>
      </w:r>
      <w:r w:rsidRPr="004A7E5E">
        <w:noBreakHyphen/>
        <w:t>dependent and practice</w:t>
      </w:r>
      <w:r w:rsidRPr="004A7E5E">
        <w:noBreakHyphen/>
        <w:t>driven.</w:t>
      </w:r>
    </w:p>
    <w:p w14:paraId="290EC0FF" w14:textId="77777777" w:rsidR="005B4D75" w:rsidRPr="004A7E5E" w:rsidRDefault="005B4D75" w:rsidP="005B4D75">
      <w:pPr>
        <w:spacing w:after="0"/>
        <w:rPr>
          <w:rFonts w:eastAsia="Calibri" w:cs="Arial"/>
          <w:sz w:val="20"/>
          <w:szCs w:val="20"/>
          <w:lang w:val="en-IE"/>
        </w:rPr>
      </w:pPr>
    </w:p>
    <w:p w14:paraId="360EB581" w14:textId="77777777" w:rsidR="005B4D75" w:rsidRPr="004A7E5E" w:rsidRDefault="005B4D75" w:rsidP="0024535D">
      <w:pPr>
        <w:keepNext/>
        <w:keepLines/>
        <w:spacing w:before="40" w:after="0" w:line="256" w:lineRule="auto"/>
        <w:outlineLvl w:val="3"/>
        <w:rPr>
          <w:rFonts w:eastAsia="Calibri"/>
        </w:rPr>
      </w:pPr>
      <w:bookmarkStart w:id="451" w:name="_Toc224205028"/>
      <w:r w:rsidRPr="0024535D">
        <w:rPr>
          <w:rFonts w:eastAsia="Times New Roman" w:cs="Times New Roman"/>
          <w:i/>
          <w:iCs w:val="0"/>
          <w:color w:val="2F5496" w:themeColor="accent1" w:themeShade="BF"/>
        </w:rPr>
        <w:t>Downstream Impact</w:t>
      </w:r>
      <w:bookmarkEnd w:id="451"/>
    </w:p>
    <w:p w14:paraId="6D55D88C" w14:textId="1DC2F849" w:rsidR="005B4D75" w:rsidRPr="004A7E5E" w:rsidRDefault="005B4D75" w:rsidP="0024535D">
      <w:r w:rsidRPr="004A7E5E">
        <w:t xml:space="preserve">If the volume and breadth of assessment activities decline, there is a real risk of progressive erosion of state-of-the-art technical and clinical expertise. Such a loss of competence could directly affect the quality and consistency of conformity assessments, with potential downstream implications for patient safety. The impact is across the industry as personnel move between </w:t>
      </w:r>
      <w:r w:rsidR="00965AD3">
        <w:t>n</w:t>
      </w:r>
      <w:r w:rsidRPr="004A7E5E">
        <w:t xml:space="preserve">otified </w:t>
      </w:r>
      <w:r w:rsidR="00965AD3">
        <w:t>b</w:t>
      </w:r>
      <w:r w:rsidRPr="004A7E5E">
        <w:t>odies and industry, creating a system</w:t>
      </w:r>
      <w:r w:rsidRPr="004A7E5E">
        <w:noBreakHyphen/>
        <w:t xml:space="preserve">wide competence gap across the EU, with direct downstream implications for the </w:t>
      </w:r>
      <w:proofErr w:type="spellStart"/>
      <w:r w:rsidRPr="004A7E5E">
        <w:t>medtech</w:t>
      </w:r>
      <w:proofErr w:type="spellEnd"/>
      <w:r w:rsidRPr="004A7E5E">
        <w:t xml:space="preserve"> sector, innovation, market growth, and investment, as well as patient safety, regulatory credibility, and trust in the conformity assessment system.</w:t>
      </w:r>
    </w:p>
    <w:p w14:paraId="11616607" w14:textId="1E3EB137" w:rsidR="005B4D75" w:rsidRPr="004A7E5E" w:rsidRDefault="005B4D75" w:rsidP="0024535D">
      <w:r w:rsidRPr="004A7E5E">
        <w:t xml:space="preserve">In addition, reduced activity levels may limit the availability of </w:t>
      </w:r>
      <w:r w:rsidR="00965AD3">
        <w:t>n</w:t>
      </w:r>
      <w:r w:rsidRPr="004A7E5E">
        <w:t xml:space="preserve">otified </w:t>
      </w:r>
      <w:r w:rsidR="00965AD3">
        <w:t>b</w:t>
      </w:r>
      <w:r w:rsidRPr="004A7E5E">
        <w:t xml:space="preserve">odies for certain highly specialised codes. This directly contradicts prior Commission concerns about </w:t>
      </w:r>
      <w:r w:rsidR="00965AD3">
        <w:t>n</w:t>
      </w:r>
      <w:r w:rsidRPr="004A7E5E">
        <w:t xml:space="preserve">otified </w:t>
      </w:r>
      <w:r w:rsidR="00965AD3">
        <w:t>b</w:t>
      </w:r>
      <w:r w:rsidRPr="004A7E5E">
        <w:t xml:space="preserve">ody capacity following the introduction of MDR/IVDR and undermines the stated objectives of improving availability of medical devices and safeguarding patient safety. Where assessors cannot maintain the minimum activity needed to retain competence, </w:t>
      </w:r>
      <w:r w:rsidR="00965AD3">
        <w:t>n</w:t>
      </w:r>
      <w:r w:rsidRPr="004A7E5E">
        <w:t xml:space="preserve">otified </w:t>
      </w:r>
      <w:r w:rsidR="00965AD3">
        <w:t>b</w:t>
      </w:r>
      <w:r w:rsidRPr="004A7E5E">
        <w:t>odies may be forced to withdraw from certain codes altogether. This leads to certification bottlenecks, longer time</w:t>
      </w:r>
      <w:r w:rsidRPr="004A7E5E">
        <w:noBreakHyphen/>
        <w:t>to</w:t>
      </w:r>
      <w:r w:rsidRPr="004A7E5E">
        <w:noBreakHyphen/>
        <w:t>market, and reduced access to conformity assessment services - especially for innovative, niche, or high</w:t>
      </w:r>
      <w:r w:rsidRPr="004A7E5E">
        <w:noBreakHyphen/>
        <w:t xml:space="preserve">risk technologies. In a market already experiencing significant barriers due to the additional data required under the Regulations, </w:t>
      </w:r>
      <w:r w:rsidR="007650DF" w:rsidRPr="004A7E5E">
        <w:t>these dynamic risks</w:t>
      </w:r>
      <w:r w:rsidRPr="004A7E5E">
        <w:t xml:space="preserve"> triggering functional market failure, where manufacturers are unable to secure timely certification despite regulatory demand.</w:t>
      </w:r>
    </w:p>
    <w:p w14:paraId="6093D50F" w14:textId="77777777" w:rsidR="005B4D75" w:rsidRPr="004A7E5E" w:rsidRDefault="005B4D75" w:rsidP="00E41416">
      <w:pPr>
        <w:spacing w:after="60" w:line="276" w:lineRule="auto"/>
        <w:rPr>
          <w:szCs w:val="22"/>
        </w:rPr>
      </w:pPr>
    </w:p>
    <w:p w14:paraId="22619B55" w14:textId="77777777" w:rsidR="005B4D75" w:rsidRPr="0024535D" w:rsidRDefault="005B4D75" w:rsidP="0024535D">
      <w:pPr>
        <w:keepNext/>
        <w:keepLines/>
        <w:spacing w:before="40" w:after="0" w:line="256" w:lineRule="auto"/>
        <w:outlineLvl w:val="3"/>
        <w:rPr>
          <w:rFonts w:eastAsia="Times New Roman" w:cs="Times New Roman"/>
          <w:i/>
          <w:iCs w:val="0"/>
          <w:color w:val="2F5496" w:themeColor="accent1" w:themeShade="BF"/>
        </w:rPr>
      </w:pPr>
      <w:bookmarkStart w:id="452" w:name="_Toc224205029"/>
      <w:r w:rsidRPr="0024535D">
        <w:rPr>
          <w:rFonts w:eastAsia="Times New Roman" w:cs="Times New Roman"/>
          <w:i/>
          <w:iCs w:val="0"/>
          <w:color w:val="2F5496" w:themeColor="accent1" w:themeShade="BF"/>
        </w:rPr>
        <w:t>Alternative Solution</w:t>
      </w:r>
      <w:bookmarkEnd w:id="452"/>
    </w:p>
    <w:p w14:paraId="1590E186" w14:textId="77777777" w:rsidR="005B4D75" w:rsidRPr="004A7E5E" w:rsidRDefault="005B4D75" w:rsidP="0024535D">
      <w:r w:rsidRPr="004A7E5E">
        <w:t>The proposed alternative measures is to consider broadening and/or combining device codes in a manner that reduces dependence on narrowly qualified personnel, while still ensuring that assessors retain the necessary depth of technical and clinical competence.</w:t>
      </w:r>
    </w:p>
    <w:p w14:paraId="72289CC1" w14:textId="77777777" w:rsidR="005B4D75" w:rsidRPr="004A7E5E" w:rsidRDefault="005B4D75" w:rsidP="005B4D75">
      <w:pPr>
        <w:spacing w:after="60" w:line="276" w:lineRule="auto"/>
        <w:rPr>
          <w:szCs w:val="22"/>
        </w:rPr>
      </w:pPr>
    </w:p>
    <w:p w14:paraId="1B129878" w14:textId="66F66CFA" w:rsidR="005B4D75" w:rsidRPr="004A7E5E" w:rsidRDefault="005B4D75" w:rsidP="00700B94">
      <w:pPr>
        <w:pStyle w:val="Titre2"/>
        <w:numPr>
          <w:ilvl w:val="1"/>
          <w:numId w:val="56"/>
        </w:numPr>
      </w:pPr>
      <w:bookmarkStart w:id="453" w:name="_Toc224205030"/>
      <w:bookmarkStart w:id="454" w:name="_Toc226533718"/>
      <w:r w:rsidRPr="004A7E5E">
        <w:t>Patient Safety</w:t>
      </w:r>
      <w:bookmarkEnd w:id="453"/>
      <w:bookmarkEnd w:id="454"/>
    </w:p>
    <w:p w14:paraId="336FECEA" w14:textId="77777777" w:rsidR="005B4D75" w:rsidRPr="0024535D" w:rsidRDefault="005B4D75" w:rsidP="0024535D">
      <w:pPr>
        <w:keepNext/>
        <w:keepLines/>
        <w:spacing w:before="40" w:after="0" w:line="256" w:lineRule="auto"/>
        <w:outlineLvl w:val="3"/>
        <w:rPr>
          <w:rFonts w:cs="Times New Roman"/>
          <w:i/>
          <w:color w:val="2F5496" w:themeColor="accent1" w:themeShade="BF"/>
        </w:rPr>
      </w:pPr>
      <w:bookmarkStart w:id="455" w:name="_Toc224205031"/>
      <w:r w:rsidRPr="0024535D">
        <w:rPr>
          <w:rFonts w:eastAsia="Times New Roman" w:cs="Times New Roman"/>
          <w:i/>
          <w:iCs w:val="0"/>
          <w:color w:val="2F5496" w:themeColor="accent1" w:themeShade="BF"/>
        </w:rPr>
        <w:t>Overview</w:t>
      </w:r>
      <w:bookmarkEnd w:id="455"/>
    </w:p>
    <w:p w14:paraId="67E0A51F" w14:textId="77777777" w:rsidR="005B4D75" w:rsidRPr="004A7E5E" w:rsidRDefault="005B4D75" w:rsidP="00700B94">
      <w:pPr>
        <w:pStyle w:val="Paragraphedeliste"/>
        <w:numPr>
          <w:ilvl w:val="0"/>
          <w:numId w:val="48"/>
        </w:numPr>
      </w:pPr>
      <w:r w:rsidRPr="004A7E5E">
        <w:t>Increased procedural oversight (e.g. biennial Joint Assessment Teams under Art. 44) adds significant administrative burden without clear evidence of improved patient safety, risks delaying maintenance of designation, and may drive defensive or overly conservative certification decisions instead of balanced, risk</w:t>
      </w:r>
      <w:r w:rsidRPr="00CB668C">
        <w:rPr>
          <w:rFonts w:ascii="Cambria Math" w:hAnsi="Cambria Math" w:cs="Cambria Math"/>
        </w:rPr>
        <w:t>‑</w:t>
      </w:r>
      <w:r w:rsidRPr="004A7E5E">
        <w:t>based assessments.</w:t>
      </w:r>
    </w:p>
    <w:p w14:paraId="302B877B" w14:textId="4916B57F" w:rsidR="005B4D75" w:rsidRPr="004A7E5E" w:rsidRDefault="005B4D75" w:rsidP="00700B94">
      <w:pPr>
        <w:pStyle w:val="Paragraphedeliste"/>
        <w:numPr>
          <w:ilvl w:val="0"/>
          <w:numId w:val="48"/>
        </w:numPr>
      </w:pPr>
      <w:r w:rsidRPr="004A7E5E">
        <w:lastRenderedPageBreak/>
        <w:t xml:space="preserve">Accelerated review timelines combined with stricter qualification and limited scope codes (Annex VII; Art. 52; Annex IX 3.3 &amp; 3.5), alongside reduced sampling and surveillance, risk diminishing </w:t>
      </w:r>
      <w:r w:rsidR="00965AD3">
        <w:t>n</w:t>
      </w:r>
      <w:r w:rsidRPr="004A7E5E">
        <w:t xml:space="preserve">otified </w:t>
      </w:r>
      <w:r w:rsidR="00965AD3">
        <w:t>b</w:t>
      </w:r>
      <w:r w:rsidRPr="004A7E5E">
        <w:t>ody capacity and assessor competence—particularly for complex or innovative technologies—leading to fewer products reaching the market.</w:t>
      </w:r>
    </w:p>
    <w:p w14:paraId="10F93EC5" w14:textId="77777777" w:rsidR="005B4D75" w:rsidRDefault="005B4D75" w:rsidP="00700B94">
      <w:pPr>
        <w:pStyle w:val="Paragraphedeliste"/>
        <w:numPr>
          <w:ilvl w:val="0"/>
          <w:numId w:val="48"/>
        </w:numPr>
      </w:pPr>
      <w:r w:rsidRPr="004A7E5E">
        <w:t>A move toward predominantly for</w:t>
      </w:r>
      <w:r w:rsidRPr="00CB668C">
        <w:rPr>
          <w:rFonts w:ascii="Cambria Math" w:hAnsi="Cambria Math" w:cs="Cambria Math"/>
        </w:rPr>
        <w:t>‑</w:t>
      </w:r>
      <w:r w:rsidRPr="004A7E5E">
        <w:t>cause assessments, reduced proactive surveillance, cost</w:t>
      </w:r>
      <w:r w:rsidRPr="00CB668C">
        <w:rPr>
          <w:rFonts w:ascii="Cambria Math" w:hAnsi="Cambria Math" w:cs="Cambria Math"/>
        </w:rPr>
        <w:t>‑</w:t>
      </w:r>
      <w:r w:rsidRPr="004A7E5E">
        <w:t>driven measures (Art. 50(2)), and prescriptive conformity assessment approaches (Art. 50(6)) weakens early detection of safety and performance issues, constrains risk</w:t>
      </w:r>
      <w:r w:rsidRPr="00CB668C">
        <w:rPr>
          <w:rFonts w:ascii="Cambria Math" w:hAnsi="Cambria Math" w:cs="Cambria Math"/>
        </w:rPr>
        <w:t>‑</w:t>
      </w:r>
      <w:r w:rsidRPr="004A7E5E">
        <w:t>based judgment, and undermines long</w:t>
      </w:r>
      <w:r w:rsidRPr="00CB668C">
        <w:rPr>
          <w:rFonts w:ascii="Cambria Math" w:hAnsi="Cambria Math" w:cs="Cambria Math"/>
        </w:rPr>
        <w:t>‑</w:t>
      </w:r>
      <w:r w:rsidRPr="004A7E5E">
        <w:t>term patient confidence and market stability.</w:t>
      </w:r>
    </w:p>
    <w:p w14:paraId="433AF928" w14:textId="77777777" w:rsidR="00F43A6D" w:rsidRPr="004A7E5E" w:rsidRDefault="00F43A6D" w:rsidP="0024535D">
      <w:pPr>
        <w:pStyle w:val="Paragraphedeliste"/>
        <w:spacing w:after="60" w:line="276" w:lineRule="auto"/>
        <w:ind w:left="1080"/>
        <w:rPr>
          <w:szCs w:val="22"/>
        </w:rPr>
      </w:pPr>
    </w:p>
    <w:p w14:paraId="590A7B5F" w14:textId="77777777" w:rsidR="005B4D75" w:rsidRPr="0024535D" w:rsidRDefault="005B4D75" w:rsidP="0024535D">
      <w:pPr>
        <w:keepNext/>
        <w:keepLines/>
        <w:spacing w:before="40" w:after="0" w:line="256" w:lineRule="auto"/>
        <w:outlineLvl w:val="3"/>
        <w:rPr>
          <w:rFonts w:cs="Times New Roman"/>
          <w:i/>
          <w:color w:val="2F5496" w:themeColor="accent1" w:themeShade="BF"/>
        </w:rPr>
      </w:pPr>
      <w:bookmarkStart w:id="456" w:name="_Toc224205032"/>
      <w:r w:rsidRPr="0024535D">
        <w:rPr>
          <w:rFonts w:eastAsia="Times New Roman" w:cs="Times New Roman"/>
          <w:i/>
          <w:iCs w:val="0"/>
          <w:color w:val="2F5496" w:themeColor="accent1" w:themeShade="BF"/>
        </w:rPr>
        <w:t>Proportional surveillance</w:t>
      </w:r>
      <w:bookmarkEnd w:id="456"/>
    </w:p>
    <w:p w14:paraId="64335FE2" w14:textId="4438B3FF" w:rsidR="005B4D75" w:rsidRPr="004A7E5E" w:rsidRDefault="005B4D75" w:rsidP="0024535D">
      <w:r w:rsidRPr="004A7E5E">
        <w:t xml:space="preserve">The proposed amendments introduce a combination of increased procedural oversight (e.g. biennial Joint Assessment Teams) and reduced substantive conformity assessment activity that risks creating a disproportionate administrative burden without clear evidence of added patient safety benefits, potentially pushing </w:t>
      </w:r>
      <w:r w:rsidR="00965AD3">
        <w:t>n</w:t>
      </w:r>
      <w:r w:rsidRPr="004A7E5E">
        <w:t xml:space="preserve">otified </w:t>
      </w:r>
      <w:r w:rsidR="00965AD3">
        <w:t>b</w:t>
      </w:r>
      <w:r w:rsidRPr="004A7E5E">
        <w:t xml:space="preserve">odies toward defensive or overly conservative certification decisions rather than balanced, risk-based assessments. In turn, these changes will destabilize the MDR/IVDR system. </w:t>
      </w:r>
    </w:p>
    <w:p w14:paraId="21F24AFB" w14:textId="77777777" w:rsidR="005B4D75" w:rsidRPr="004A7E5E" w:rsidRDefault="005B4D75" w:rsidP="0024535D">
      <w:r w:rsidRPr="004A7E5E">
        <w:t xml:space="preserve">Increased costs / administration such as </w:t>
      </w:r>
    </w:p>
    <w:p w14:paraId="67333C8C" w14:textId="77777777" w:rsidR="005B4D75" w:rsidRPr="004A7E5E" w:rsidRDefault="005B4D75" w:rsidP="00700B94">
      <w:pPr>
        <w:pStyle w:val="Paragraphedeliste"/>
        <w:numPr>
          <w:ilvl w:val="0"/>
          <w:numId w:val="49"/>
        </w:numPr>
      </w:pPr>
      <w:r w:rsidRPr="004A7E5E">
        <w:t xml:space="preserve">biennial Joint Assessment Teams (Article 44), </w:t>
      </w:r>
    </w:p>
    <w:p w14:paraId="33A6BDFF" w14:textId="77777777" w:rsidR="005B4D75" w:rsidRPr="004A7E5E" w:rsidRDefault="005B4D75" w:rsidP="00700B94">
      <w:pPr>
        <w:pStyle w:val="Paragraphedeliste"/>
        <w:numPr>
          <w:ilvl w:val="0"/>
          <w:numId w:val="49"/>
        </w:numPr>
      </w:pPr>
      <w:r w:rsidRPr="004A7E5E">
        <w:t xml:space="preserve">accelerated review timelines </w:t>
      </w:r>
    </w:p>
    <w:p w14:paraId="1ED3B223" w14:textId="77777777" w:rsidR="005B4D75" w:rsidRPr="004A7E5E" w:rsidRDefault="005B4D75" w:rsidP="00700B94">
      <w:pPr>
        <w:pStyle w:val="Paragraphedeliste"/>
        <w:numPr>
          <w:ilvl w:val="0"/>
          <w:numId w:val="49"/>
        </w:numPr>
      </w:pPr>
      <w:r w:rsidRPr="004A7E5E">
        <w:t xml:space="preserve">stricter training and qualification requirements </w:t>
      </w:r>
    </w:p>
    <w:p w14:paraId="2D8E771D" w14:textId="1C541460" w:rsidR="005B4D75" w:rsidRPr="004A7E5E" w:rsidRDefault="005B4D75" w:rsidP="00700B94">
      <w:pPr>
        <w:pStyle w:val="Paragraphedeliste"/>
        <w:numPr>
          <w:ilvl w:val="0"/>
          <w:numId w:val="49"/>
        </w:numPr>
      </w:pPr>
      <w:r w:rsidRPr="004A7E5E">
        <w:t xml:space="preserve">stricter designation requirements (including limited scope codes) </w:t>
      </w:r>
      <w:r w:rsidRPr="00F43A6D">
        <w:t xml:space="preserve">place pressure on </w:t>
      </w:r>
      <w:r w:rsidR="00965AD3">
        <w:t>n</w:t>
      </w:r>
      <w:r w:rsidRPr="00F43A6D">
        <w:t xml:space="preserve">otified </w:t>
      </w:r>
      <w:r w:rsidR="00965AD3">
        <w:t>b</w:t>
      </w:r>
      <w:r w:rsidRPr="00F43A6D">
        <w:t xml:space="preserve">ody viability, in turn reducing capacity and expert availability, resulting in fewer products reaching the market, including devices that could offer improved safety or clinical benefit. </w:t>
      </w:r>
    </w:p>
    <w:p w14:paraId="4D7C5F23" w14:textId="77777777" w:rsidR="005B4D75" w:rsidRPr="004A7E5E" w:rsidRDefault="005B4D75" w:rsidP="0024535D">
      <w:r w:rsidRPr="004A7E5E">
        <w:t>The concurrent reduction in fee-earning activities - reduced sampling and surveillance activities – adds to the financial pressure whilst simultaneously challenging maintaining assessor qualifications.</w:t>
      </w:r>
    </w:p>
    <w:p w14:paraId="375AA61F" w14:textId="2A5C93C1" w:rsidR="005B4D75" w:rsidRPr="004A7E5E" w:rsidRDefault="005B4D75" w:rsidP="0024535D">
      <w:r w:rsidRPr="004A7E5E">
        <w:t>A shift toward predominantly for-cause assessments, with fewer proactive and systematic conformity assessment activities, risks limiting early identification of safety and performance issues (</w:t>
      </w:r>
      <w:r w:rsidR="0030563F" w:rsidRPr="004A7E5E">
        <w:t>i.e.</w:t>
      </w:r>
      <w:r w:rsidRPr="004A7E5E">
        <w:t xml:space="preserve"> tends towards reactive rather than proactive safety). </w:t>
      </w:r>
    </w:p>
    <w:p w14:paraId="2BA3B606" w14:textId="77777777" w:rsidR="005B4D75" w:rsidRPr="004A7E5E" w:rsidRDefault="005B4D75" w:rsidP="005B4D75">
      <w:pPr>
        <w:spacing w:after="60" w:line="276" w:lineRule="auto"/>
        <w:rPr>
          <w:szCs w:val="22"/>
        </w:rPr>
      </w:pPr>
    </w:p>
    <w:p w14:paraId="428AD7F3" w14:textId="77777777" w:rsidR="005B4D75" w:rsidRPr="0024535D" w:rsidRDefault="005B4D75" w:rsidP="0024535D">
      <w:pPr>
        <w:keepNext/>
        <w:keepLines/>
        <w:spacing w:before="40" w:after="0" w:line="256" w:lineRule="auto"/>
        <w:outlineLvl w:val="3"/>
        <w:rPr>
          <w:rFonts w:cs="Times New Roman"/>
          <w:i/>
          <w:color w:val="2F5496" w:themeColor="accent1" w:themeShade="BF"/>
        </w:rPr>
      </w:pPr>
      <w:r w:rsidRPr="0024535D">
        <w:rPr>
          <w:rFonts w:eastAsia="Times New Roman" w:cs="Times New Roman"/>
          <w:i/>
          <w:iCs w:val="0"/>
          <w:color w:val="2F5496" w:themeColor="accent1" w:themeShade="BF"/>
        </w:rPr>
        <w:t xml:space="preserve"> </w:t>
      </w:r>
      <w:bookmarkStart w:id="457" w:name="_Toc224205033"/>
      <w:r w:rsidRPr="0024535D">
        <w:rPr>
          <w:rFonts w:eastAsia="Times New Roman" w:cs="Times New Roman"/>
          <w:i/>
          <w:iCs w:val="0"/>
          <w:color w:val="2F5496" w:themeColor="accent1" w:themeShade="BF"/>
        </w:rPr>
        <w:t>Downstream Impact</w:t>
      </w:r>
      <w:bookmarkEnd w:id="457"/>
    </w:p>
    <w:p w14:paraId="638B61F6" w14:textId="166E2555" w:rsidR="005B4D75" w:rsidRPr="004A7E5E" w:rsidRDefault="005B4D75" w:rsidP="0024535D">
      <w:r w:rsidRPr="004A7E5E">
        <w:t>The downst</w:t>
      </w:r>
      <w:r w:rsidR="004970E3">
        <w:t>r</w:t>
      </w:r>
      <w:r w:rsidRPr="004A7E5E">
        <w:t xml:space="preserve">eam impact on patient safety is significant and systemic. Collectively, the proposals increase administrative burden while constraining the ability of </w:t>
      </w:r>
      <w:r w:rsidR="00965AD3">
        <w:t>n</w:t>
      </w:r>
      <w:r w:rsidRPr="004A7E5E">
        <w:t xml:space="preserve">otified </w:t>
      </w:r>
      <w:r w:rsidR="00965AD3">
        <w:t>b</w:t>
      </w:r>
      <w:r w:rsidRPr="004A7E5E">
        <w:t>odies to deliver balanced, risk</w:t>
      </w:r>
      <w:r w:rsidRPr="004A7E5E">
        <w:noBreakHyphen/>
        <w:t>based assessments. These measures are introduced without clear evidence of added patient safety benefit and, in practice, risk delaying maintenance of designation, reducing capacity, and weakening the very safeguards the Regulations are intended to strengthen.</w:t>
      </w:r>
    </w:p>
    <w:p w14:paraId="753A0EA7" w14:textId="0DC5C430" w:rsidR="005B4D75" w:rsidRPr="004A7E5E" w:rsidRDefault="005B4D75" w:rsidP="0024535D">
      <w:r w:rsidRPr="004A7E5E">
        <w:t xml:space="preserve">With reduced </w:t>
      </w:r>
      <w:r w:rsidR="00965AD3">
        <w:t>n</w:t>
      </w:r>
      <w:r w:rsidRPr="004A7E5E">
        <w:t xml:space="preserve">otified </w:t>
      </w:r>
      <w:r w:rsidR="00965AD3">
        <w:t>b</w:t>
      </w:r>
      <w:r w:rsidRPr="004A7E5E">
        <w:t>ody oversight, potential early signs of non</w:t>
      </w:r>
      <w:r w:rsidRPr="004A7E5E">
        <w:rPr>
          <w:rFonts w:ascii="Cambria Math" w:hAnsi="Cambria Math" w:cs="Cambria Math"/>
        </w:rPr>
        <w:t>‑</w:t>
      </w:r>
      <w:r w:rsidRPr="004A7E5E">
        <w:t xml:space="preserve">compliance, safety concerns, or performance degradation across a manufacturer’s devices and QMS unlikely to be detected in a timely manner, ultimately weakening preventive oversight and increasing reliance on reactive measures after issues have already materialised. </w:t>
      </w:r>
    </w:p>
    <w:p w14:paraId="4F511946" w14:textId="7401D1E3" w:rsidR="005B4D75" w:rsidRPr="004A7E5E" w:rsidRDefault="005B4D75" w:rsidP="0024535D">
      <w:r w:rsidRPr="004A7E5E">
        <w:lastRenderedPageBreak/>
        <w:t>There is a concern amongst notified bodies that the current model for continual surveillance approach, which is based largely on PMS activities</w:t>
      </w:r>
      <w:r w:rsidR="004B0711">
        <w:t>,</w:t>
      </w:r>
      <w:r w:rsidR="00CB668C">
        <w:t xml:space="preserve"> </w:t>
      </w:r>
      <w:r w:rsidRPr="004A7E5E">
        <w:t xml:space="preserve">would not fully replace the objectives of a recertification review. The recertification review does not serve to perform a full initial product review, and thereby duplicate activities; rather it serves to perform a state of the art assessment to ensure that the product has a) been updated and re-tested according to the state of the art and b) has not undergone design drift such that the original approval data is invalid. Whilst PMS would feedback changes required based on clinical data, it does not necessarily encompass technical standard updates impacting, for example, tensile testing or cybersecurity until there is a breach impacting PMS. As such, it moves safety to reactive rather than proactive and places a greater emphasis on manufacturers taking the initiative to ensure that their products remain conformity without oversight. </w:t>
      </w:r>
    </w:p>
    <w:p w14:paraId="75436EF7" w14:textId="77777777" w:rsidR="005B4D75" w:rsidRPr="004A7E5E" w:rsidRDefault="005B4D75" w:rsidP="0024535D">
      <w:r w:rsidRPr="004A7E5E">
        <w:t>A proposal focussed predominantly on cost savings and efficiency, without a corresponding assessment of impacts on patient safety, risks weakening key MDR/IVDR safeguards and shifting attention away from robust conformity assessment, potentially undermining long-term patient confidence and healthcare outcomes (SME fee reduction, Art. 50 (2)).</w:t>
      </w:r>
    </w:p>
    <w:p w14:paraId="3704E015" w14:textId="4EFF5EB2" w:rsidR="005B4D75" w:rsidRPr="004A7E5E" w:rsidRDefault="005B4D75" w:rsidP="0024535D">
      <w:r w:rsidRPr="004A7E5E">
        <w:t xml:space="preserve">The proposal to impose specific conformity assessment approaches raises unresolved questions regarding liability, impartiality, and </w:t>
      </w:r>
      <w:r w:rsidR="00965AD3">
        <w:t>n</w:t>
      </w:r>
      <w:r w:rsidRPr="004A7E5E">
        <w:t xml:space="preserve">otified </w:t>
      </w:r>
      <w:r w:rsidR="00965AD3">
        <w:t>b</w:t>
      </w:r>
      <w:r w:rsidRPr="004A7E5E">
        <w:t>ody independence, and risks constraining the application of risk-based judgment foreseen under the MDR/IVDR; prescriptive imposition rather than adherence to existing regulatory requirements may reduce flexibility needed to ensure appropriate, device-specific safety evaluations and market stability. à Art. 50(6).</w:t>
      </w:r>
    </w:p>
    <w:p w14:paraId="51156443" w14:textId="77777777" w:rsidR="005B4D75" w:rsidRPr="004A7E5E" w:rsidRDefault="005B4D75" w:rsidP="005B4D75">
      <w:pPr>
        <w:spacing w:after="0"/>
        <w:rPr>
          <w:rFonts w:eastAsia="Calibri" w:cs="Arial"/>
          <w:sz w:val="20"/>
          <w:szCs w:val="20"/>
        </w:rPr>
      </w:pPr>
    </w:p>
    <w:p w14:paraId="3CB447FD" w14:textId="77777777" w:rsidR="005B4D75" w:rsidRPr="0024535D" w:rsidRDefault="005B4D75" w:rsidP="0024535D">
      <w:pPr>
        <w:keepNext/>
        <w:keepLines/>
        <w:spacing w:before="40" w:after="0" w:line="256" w:lineRule="auto"/>
        <w:outlineLvl w:val="3"/>
        <w:rPr>
          <w:rFonts w:cs="Times New Roman"/>
          <w:i/>
          <w:color w:val="2F5496" w:themeColor="accent1" w:themeShade="BF"/>
        </w:rPr>
      </w:pPr>
      <w:bookmarkStart w:id="458" w:name="_Toc224205034"/>
      <w:r w:rsidRPr="0024535D">
        <w:rPr>
          <w:rFonts w:eastAsia="Times New Roman" w:cs="Times New Roman"/>
          <w:i/>
          <w:iCs w:val="0"/>
          <w:color w:val="2F5496" w:themeColor="accent1" w:themeShade="BF"/>
        </w:rPr>
        <w:t>Alternative Solution</w:t>
      </w:r>
      <w:bookmarkEnd w:id="458"/>
    </w:p>
    <w:p w14:paraId="64ABBC8D" w14:textId="6B21F8DB" w:rsidR="005B4D75" w:rsidRPr="006D40BB" w:rsidRDefault="005B4D75" w:rsidP="006D40BB">
      <w:r w:rsidRPr="004A7E5E">
        <w:t>The proposed alternative measures listed below provide a balanced approach to conformity assessment aspects using proportionality to balance the regulatory burden of placing the product on the market with risks and clinical outcome, overall balancing availability of devices with risks to ensure public safety.</w:t>
      </w:r>
    </w:p>
    <w:p w14:paraId="07CFC139" w14:textId="35495A31" w:rsidR="000153A5" w:rsidRPr="004A7E5E" w:rsidRDefault="000153A5" w:rsidP="000153A5">
      <w:pPr>
        <w:pStyle w:val="Titre1"/>
      </w:pPr>
      <w:bookmarkStart w:id="459" w:name="_Toc225841632"/>
      <w:bookmarkStart w:id="460" w:name="_Toc225929606"/>
      <w:bookmarkStart w:id="461" w:name="_Toc225930058"/>
      <w:bookmarkStart w:id="462" w:name="_Toc225930510"/>
      <w:bookmarkStart w:id="463" w:name="_Toc225930968"/>
      <w:bookmarkStart w:id="464" w:name="_Toc225931426"/>
      <w:bookmarkStart w:id="465" w:name="_Toc225931865"/>
      <w:bookmarkStart w:id="466" w:name="_Toc225932305"/>
      <w:bookmarkStart w:id="467" w:name="_Toc225932745"/>
      <w:bookmarkStart w:id="468" w:name="_Toc225933185"/>
      <w:bookmarkStart w:id="469" w:name="_Toc225933625"/>
      <w:bookmarkStart w:id="470" w:name="_Toc225948932"/>
      <w:bookmarkStart w:id="471" w:name="_Toc225949561"/>
      <w:bookmarkStart w:id="472" w:name="_Toc225963606"/>
      <w:bookmarkStart w:id="473" w:name="_Toc225841633"/>
      <w:bookmarkStart w:id="474" w:name="_Toc225929607"/>
      <w:bookmarkStart w:id="475" w:name="_Toc225930059"/>
      <w:bookmarkStart w:id="476" w:name="_Toc225930511"/>
      <w:bookmarkStart w:id="477" w:name="_Toc225930969"/>
      <w:bookmarkStart w:id="478" w:name="_Toc225931427"/>
      <w:bookmarkStart w:id="479" w:name="_Toc225931866"/>
      <w:bookmarkStart w:id="480" w:name="_Toc225932306"/>
      <w:bookmarkStart w:id="481" w:name="_Toc225932746"/>
      <w:bookmarkStart w:id="482" w:name="_Toc225933186"/>
      <w:bookmarkStart w:id="483" w:name="_Toc225933626"/>
      <w:bookmarkStart w:id="484" w:name="_Toc225948933"/>
      <w:bookmarkStart w:id="485" w:name="_Toc225949562"/>
      <w:bookmarkStart w:id="486" w:name="_Toc225963607"/>
      <w:bookmarkStart w:id="487" w:name="_Toc225841634"/>
      <w:bookmarkStart w:id="488" w:name="_Toc225929608"/>
      <w:bookmarkStart w:id="489" w:name="_Toc225930060"/>
      <w:bookmarkStart w:id="490" w:name="_Toc225930512"/>
      <w:bookmarkStart w:id="491" w:name="_Toc225930970"/>
      <w:bookmarkStart w:id="492" w:name="_Toc225931428"/>
      <w:bookmarkStart w:id="493" w:name="_Toc225931867"/>
      <w:bookmarkStart w:id="494" w:name="_Toc225932307"/>
      <w:bookmarkStart w:id="495" w:name="_Toc225932747"/>
      <w:bookmarkStart w:id="496" w:name="_Toc225933187"/>
      <w:bookmarkStart w:id="497" w:name="_Toc225933627"/>
      <w:bookmarkStart w:id="498" w:name="_Toc225948934"/>
      <w:bookmarkStart w:id="499" w:name="_Toc225949563"/>
      <w:bookmarkStart w:id="500" w:name="_Toc225963608"/>
      <w:bookmarkStart w:id="501" w:name="_Toc225841635"/>
      <w:bookmarkStart w:id="502" w:name="_Toc225929609"/>
      <w:bookmarkStart w:id="503" w:name="_Toc225930061"/>
      <w:bookmarkStart w:id="504" w:name="_Toc225930513"/>
      <w:bookmarkStart w:id="505" w:name="_Toc225930971"/>
      <w:bookmarkStart w:id="506" w:name="_Toc225931429"/>
      <w:bookmarkStart w:id="507" w:name="_Toc225931868"/>
      <w:bookmarkStart w:id="508" w:name="_Toc225932308"/>
      <w:bookmarkStart w:id="509" w:name="_Toc225932748"/>
      <w:bookmarkStart w:id="510" w:name="_Toc225933188"/>
      <w:bookmarkStart w:id="511" w:name="_Toc225933628"/>
      <w:bookmarkStart w:id="512" w:name="_Toc225948935"/>
      <w:bookmarkStart w:id="513" w:name="_Toc225949564"/>
      <w:bookmarkStart w:id="514" w:name="_Toc225963609"/>
      <w:bookmarkStart w:id="515" w:name="_Toc226533719"/>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r>
        <w:t>Conclusion</w:t>
      </w:r>
      <w:bookmarkEnd w:id="515"/>
    </w:p>
    <w:p w14:paraId="6EB2FD4F" w14:textId="77777777" w:rsidR="00C36B9D" w:rsidRDefault="00C36B9D" w:rsidP="00B72915">
      <w:pPr>
        <w:spacing w:after="0"/>
      </w:pPr>
      <w:r>
        <w:t>This document sets out the consolidated position of Team</w:t>
      </w:r>
      <w:r>
        <w:rPr>
          <w:rFonts w:ascii="Cambria Math" w:hAnsi="Cambria Math" w:cs="Cambria Math"/>
        </w:rPr>
        <w:t>‑</w:t>
      </w:r>
      <w:r>
        <w:t>NB on the proposed targeted revision of the MDR and IVDR. Drawing on the collective expertise of notified bodies actively involved in conformity assessment under the Regulations, it aims to support improvements to the regulatory framework while safeguarding patient safety, legal certainty and system sustainability.</w:t>
      </w:r>
    </w:p>
    <w:p w14:paraId="63ACC4C5" w14:textId="5EB5C461" w:rsidR="00C36B9D" w:rsidRDefault="00C36B9D" w:rsidP="00B72915">
      <w:pPr>
        <w:spacing w:after="0"/>
      </w:pPr>
      <w:r>
        <w:t>Across all thematic areas examined—governance, safety, clinical evaluation (including well</w:t>
      </w:r>
      <w:r>
        <w:rPr>
          <w:rFonts w:ascii="Cambria Math" w:hAnsi="Cambria Math" w:cs="Cambria Math"/>
        </w:rPr>
        <w:t>‑</w:t>
      </w:r>
      <w:r>
        <w:t>established technologies, Article 61(10) and equivalence), and notified body requirements</w:t>
      </w:r>
      <w:r>
        <w:rPr>
          <w:rFonts w:cs="Aptos"/>
        </w:rPr>
        <w:t>—</w:t>
      </w:r>
      <w:r>
        <w:t>a consistent conclusion emerges: efficiency gains must not be achieved through uniform reduction of preventive regulatory safeguards. Experience from MDR and IVDR implementation shows that patient safety and system robustness are best preserved through proportionate, risk</w:t>
      </w:r>
      <w:r>
        <w:rPr>
          <w:rFonts w:ascii="Cambria Math" w:hAnsi="Cambria Math" w:cs="Cambria Math"/>
        </w:rPr>
        <w:t>‑</w:t>
      </w:r>
      <w:r>
        <w:t xml:space="preserve"> and performance</w:t>
      </w:r>
      <w:r>
        <w:rPr>
          <w:rFonts w:ascii="Cambria Math" w:hAnsi="Cambria Math" w:cs="Cambria Math"/>
        </w:rPr>
        <w:t>‑</w:t>
      </w:r>
      <w:r>
        <w:t>based oversight, applied across the full device lifecycle.</w:t>
      </w:r>
    </w:p>
    <w:p w14:paraId="603433E5" w14:textId="77777777" w:rsidR="00E1713F" w:rsidRDefault="00E1713F">
      <w:pPr>
        <w:spacing w:after="0"/>
      </w:pPr>
    </w:p>
    <w:p w14:paraId="7605AA2E" w14:textId="2D4F8F2B" w:rsidR="00C36B9D" w:rsidRDefault="00C36B9D" w:rsidP="00B72915">
      <w:pPr>
        <w:spacing w:after="0"/>
      </w:pPr>
      <w:r>
        <w:t>Team</w:t>
      </w:r>
      <w:r>
        <w:rPr>
          <w:rFonts w:ascii="Cambria Math" w:hAnsi="Cambria Math" w:cs="Cambria Math"/>
        </w:rPr>
        <w:t>‑</w:t>
      </w:r>
      <w:r>
        <w:t>NB therefore concludes that:</w:t>
      </w:r>
    </w:p>
    <w:p w14:paraId="48CF5A03" w14:textId="15DE8A9D" w:rsidR="00C36B9D" w:rsidRDefault="00C36B9D" w:rsidP="00B72915">
      <w:pPr>
        <w:pStyle w:val="Paragraphedeliste"/>
        <w:numPr>
          <w:ilvl w:val="0"/>
          <w:numId w:val="104"/>
        </w:numPr>
        <w:spacing w:after="0"/>
      </w:pPr>
      <w:r>
        <w:t>Preventive controls, particularly in early and late lifecycle phases, remain essential and cannot be replaced solely by reactive, “for</w:t>
      </w:r>
      <w:r w:rsidRPr="00E1713F">
        <w:rPr>
          <w:rFonts w:ascii="Cambria Math" w:hAnsi="Cambria Math" w:cs="Cambria Math"/>
        </w:rPr>
        <w:t>‑</w:t>
      </w:r>
      <w:r>
        <w:t>cause</w:t>
      </w:r>
      <w:r w:rsidRPr="00E1713F">
        <w:rPr>
          <w:rFonts w:cs="Aptos"/>
        </w:rPr>
        <w:t>”</w:t>
      </w:r>
      <w:r>
        <w:t xml:space="preserve"> mechanisms</w:t>
      </w:r>
      <w:r w:rsidR="00B65176">
        <w:t xml:space="preserve">. </w:t>
      </w:r>
      <w:r>
        <w:t>Any regulatory relief, including reductions in oversight or administrative burden, should be earned, justified, time</w:t>
      </w:r>
      <w:r w:rsidRPr="00B65176">
        <w:rPr>
          <w:rFonts w:ascii="Cambria Math" w:hAnsi="Cambria Math" w:cs="Cambria Math"/>
        </w:rPr>
        <w:t>‑</w:t>
      </w:r>
      <w:r>
        <w:t>limited and reversible, based on demonstrated compliance performance;</w:t>
      </w:r>
    </w:p>
    <w:p w14:paraId="55BD128F" w14:textId="77777777" w:rsidR="00C36B9D" w:rsidRDefault="00C36B9D" w:rsidP="00B72915">
      <w:pPr>
        <w:pStyle w:val="Paragraphedeliste"/>
        <w:numPr>
          <w:ilvl w:val="0"/>
          <w:numId w:val="104"/>
        </w:numPr>
        <w:spacing w:after="0"/>
      </w:pPr>
      <w:r>
        <w:lastRenderedPageBreak/>
        <w:t>Governance structures should be strengthened through clearer roles, improved coordination and procedural support at Union level, without diluting regulatory accountability;</w:t>
      </w:r>
    </w:p>
    <w:p w14:paraId="517DE040" w14:textId="77777777" w:rsidR="00C36B9D" w:rsidRDefault="00C36B9D" w:rsidP="00B72915">
      <w:pPr>
        <w:pStyle w:val="Paragraphedeliste"/>
        <w:numPr>
          <w:ilvl w:val="0"/>
          <w:numId w:val="104"/>
        </w:numPr>
        <w:spacing w:after="0"/>
      </w:pPr>
      <w:r>
        <w:t>Clinical evaluation pathways, including those for well</w:t>
      </w:r>
      <w:r w:rsidRPr="00B65176">
        <w:rPr>
          <w:rFonts w:ascii="Cambria Math" w:hAnsi="Cambria Math" w:cs="Cambria Math"/>
        </w:rPr>
        <w:t>‑</w:t>
      </w:r>
      <w:r>
        <w:t>established technologies and equivalence, require clear, restrictive and legally predictable frameworks to ensure harmonised application and continued patient protection;</w:t>
      </w:r>
    </w:p>
    <w:p w14:paraId="6510CB18" w14:textId="77777777" w:rsidR="00C36B9D" w:rsidRDefault="00C36B9D" w:rsidP="00B72915">
      <w:pPr>
        <w:pStyle w:val="Paragraphedeliste"/>
        <w:numPr>
          <w:ilvl w:val="0"/>
          <w:numId w:val="104"/>
        </w:numPr>
        <w:spacing w:after="0"/>
      </w:pPr>
      <w:r>
        <w:t>The notified body system must remain viable, competent and sufficiently resourced to fulfil its role as a core preventive safeguard of the EU medical device system.</w:t>
      </w:r>
    </w:p>
    <w:p w14:paraId="504C3B5F" w14:textId="77777777" w:rsidR="00C36B9D" w:rsidRDefault="00C36B9D" w:rsidP="00B72915">
      <w:pPr>
        <w:spacing w:after="0"/>
      </w:pPr>
    </w:p>
    <w:p w14:paraId="54F738D4" w14:textId="0521646B" w:rsidR="00C36B9D" w:rsidRPr="00B72915" w:rsidRDefault="00C36B9D" w:rsidP="00B72915">
      <w:pPr>
        <w:spacing w:after="0"/>
        <w:rPr>
          <w:lang w:val="en-US"/>
        </w:rPr>
      </w:pPr>
      <w:r>
        <w:t>In order to ensure transparency and traceability between high</w:t>
      </w:r>
      <w:r>
        <w:rPr>
          <w:rFonts w:ascii="Cambria Math" w:hAnsi="Cambria Math" w:cs="Cambria Math"/>
        </w:rPr>
        <w:t>‑</w:t>
      </w:r>
      <w:r>
        <w:t xml:space="preserve">level conclusions and concrete regulatory proposals, this document </w:t>
      </w:r>
      <w:r w:rsidR="00DF05F7">
        <w:t>includes an</w:t>
      </w:r>
      <w:r>
        <w:t xml:space="preserve"> accompanying tabular annex. The main text provides contextual explanation, rationale and system</w:t>
      </w:r>
      <w:r>
        <w:rPr>
          <w:rFonts w:ascii="Cambria Math" w:hAnsi="Cambria Math" w:cs="Cambria Math"/>
        </w:rPr>
        <w:t>‑</w:t>
      </w:r>
      <w:r>
        <w:t>level perspective for each topic, while the table presents the corresponding detailed comments, references to specific legislative provisions, and proposed amendments in a structured format aligned with the Commission</w:t>
      </w:r>
      <w:r>
        <w:rPr>
          <w:rFonts w:cs="Aptos"/>
        </w:rPr>
        <w:t>’</w:t>
      </w:r>
      <w:r>
        <w:t xml:space="preserve">s </w:t>
      </w:r>
      <w:r w:rsidR="002A7CD6">
        <w:rPr>
          <w:lang w:val="en-US"/>
        </w:rPr>
        <w:t>proposals published on 16 December 2025 with reference COM(2025)1023 final</w:t>
      </w:r>
      <w:r w:rsidR="00FC203E">
        <w:rPr>
          <w:lang w:val="en-US"/>
        </w:rPr>
        <w:t>.</w:t>
      </w:r>
      <w:r w:rsidR="002A7CD6">
        <w:t xml:space="preserve"> </w:t>
      </w:r>
      <w:r>
        <w:t>Together, the text and the table form a single, coherent body of input: the text explains why changes are needed, and the table specifies what changes are proposed.</w:t>
      </w:r>
      <w:r w:rsidR="00725FC4">
        <w:t xml:space="preserve"> </w:t>
      </w:r>
    </w:p>
    <w:p w14:paraId="693D45FF" w14:textId="573A8715" w:rsidR="004620A2" w:rsidRPr="00357C56" w:rsidRDefault="00C36B9D" w:rsidP="00B72915">
      <w:pPr>
        <w:spacing w:after="0"/>
        <w:rPr>
          <w:lang w:val="en-US"/>
        </w:rPr>
      </w:pPr>
      <w:r>
        <w:t>Team</w:t>
      </w:r>
      <w:r>
        <w:rPr>
          <w:rFonts w:ascii="Cambria Math" w:hAnsi="Cambria Math" w:cs="Cambria Math"/>
        </w:rPr>
        <w:t>‑</w:t>
      </w:r>
      <w:r>
        <w:t>NB submits this document as a constructive contribution to the revision process and remains committed to continued dialogue with the Commission</w:t>
      </w:r>
      <w:r w:rsidR="00E52786">
        <w:t xml:space="preserve"> and co-legislators </w:t>
      </w:r>
      <w:r>
        <w:t xml:space="preserve">Member States and </w:t>
      </w:r>
      <w:r w:rsidR="00E52786">
        <w:t>Parliament,</w:t>
      </w:r>
      <w:r>
        <w:t xml:space="preserve"> to ensure a regulatory framework that protects patients, supports innovation and remains operationally robust.</w:t>
      </w:r>
      <w:r w:rsidRPr="0036571A">
        <w:t xml:space="preserve"> </w:t>
      </w:r>
    </w:p>
    <w:p w14:paraId="48E7CDD5" w14:textId="77777777" w:rsidR="00E13E26" w:rsidRDefault="00E13E26" w:rsidP="00B55A10">
      <w:pPr>
        <w:rPr>
          <w:szCs w:val="22"/>
        </w:rPr>
      </w:pPr>
    </w:p>
    <w:p w14:paraId="486B95DA" w14:textId="77777777" w:rsidR="00E13E26" w:rsidRDefault="00E13E26" w:rsidP="00B55A10">
      <w:pPr>
        <w:rPr>
          <w:szCs w:val="22"/>
        </w:rPr>
      </w:pPr>
    </w:p>
    <w:p w14:paraId="1026013B" w14:textId="77777777" w:rsidR="003A57C2" w:rsidRPr="009216E7" w:rsidRDefault="003A57C2" w:rsidP="005F72C7">
      <w:pPr>
        <w:rPr>
          <w:szCs w:val="22"/>
          <w:lang w:val="en-US"/>
        </w:rPr>
      </w:pPr>
      <w:bookmarkStart w:id="516" w:name="_Toc225929611"/>
      <w:bookmarkStart w:id="517" w:name="_Toc225930063"/>
      <w:bookmarkStart w:id="518" w:name="_Toc225930515"/>
      <w:bookmarkStart w:id="519" w:name="_Toc225930973"/>
      <w:bookmarkStart w:id="520" w:name="_Toc225931431"/>
      <w:bookmarkStart w:id="521" w:name="_Toc225931870"/>
      <w:bookmarkStart w:id="522" w:name="_Toc225932310"/>
      <w:bookmarkStart w:id="523" w:name="_Toc225932750"/>
      <w:bookmarkStart w:id="524" w:name="_Toc225933190"/>
      <w:bookmarkStart w:id="525" w:name="_Toc225933630"/>
      <w:bookmarkStart w:id="526" w:name="_Toc225948937"/>
      <w:bookmarkStart w:id="527" w:name="_Toc225949566"/>
      <w:bookmarkStart w:id="528" w:name="_Toc225963611"/>
      <w:bookmarkStart w:id="529" w:name="_Toc225929747"/>
      <w:bookmarkStart w:id="530" w:name="_Toc225930199"/>
      <w:bookmarkStart w:id="531" w:name="_Toc225930651"/>
      <w:bookmarkStart w:id="532" w:name="_Toc225931109"/>
      <w:bookmarkStart w:id="533" w:name="_Toc225931567"/>
      <w:bookmarkStart w:id="534" w:name="_Toc225932006"/>
      <w:bookmarkStart w:id="535" w:name="_Toc225932446"/>
      <w:bookmarkStart w:id="536" w:name="_Toc225932886"/>
      <w:bookmarkStart w:id="537" w:name="_Toc225933326"/>
      <w:bookmarkStart w:id="538" w:name="_Toc225933766"/>
      <w:bookmarkStart w:id="539" w:name="_Toc225949073"/>
      <w:bookmarkStart w:id="540" w:name="_Toc225949702"/>
      <w:bookmarkStart w:id="541" w:name="_Toc225963747"/>
      <w:bookmarkStart w:id="542" w:name="_Toc225929748"/>
      <w:bookmarkStart w:id="543" w:name="_Toc225930200"/>
      <w:bookmarkStart w:id="544" w:name="_Toc225930652"/>
      <w:bookmarkStart w:id="545" w:name="_Toc225931110"/>
      <w:bookmarkStart w:id="546" w:name="_Toc225931568"/>
      <w:bookmarkStart w:id="547" w:name="_Toc225932007"/>
      <w:bookmarkStart w:id="548" w:name="_Toc225932447"/>
      <w:bookmarkStart w:id="549" w:name="_Toc225932887"/>
      <w:bookmarkStart w:id="550" w:name="_Toc225933327"/>
      <w:bookmarkStart w:id="551" w:name="_Toc225933767"/>
      <w:bookmarkStart w:id="552" w:name="_Toc225949074"/>
      <w:bookmarkStart w:id="553" w:name="_Toc225949703"/>
      <w:bookmarkStart w:id="554" w:name="_Toc225963748"/>
      <w:bookmarkStart w:id="555" w:name="_Toc225929749"/>
      <w:bookmarkStart w:id="556" w:name="_Toc225930201"/>
      <w:bookmarkStart w:id="557" w:name="_Toc225930653"/>
      <w:bookmarkStart w:id="558" w:name="_Toc225931111"/>
      <w:bookmarkStart w:id="559" w:name="_Toc225931569"/>
      <w:bookmarkStart w:id="560" w:name="_Toc225932008"/>
      <w:bookmarkStart w:id="561" w:name="_Toc225932448"/>
      <w:bookmarkStart w:id="562" w:name="_Toc225932888"/>
      <w:bookmarkStart w:id="563" w:name="_Toc225933328"/>
      <w:bookmarkStart w:id="564" w:name="_Toc225933768"/>
      <w:bookmarkStart w:id="565" w:name="_Toc225949075"/>
      <w:bookmarkStart w:id="566" w:name="_Toc225949704"/>
      <w:bookmarkStart w:id="567" w:name="_Toc225963749"/>
      <w:bookmarkStart w:id="568" w:name="_Toc225929750"/>
      <w:bookmarkStart w:id="569" w:name="_Toc225930202"/>
      <w:bookmarkStart w:id="570" w:name="_Toc225930654"/>
      <w:bookmarkStart w:id="571" w:name="_Toc225931112"/>
      <w:bookmarkStart w:id="572" w:name="_Toc225931570"/>
      <w:bookmarkStart w:id="573" w:name="_Toc225932009"/>
      <w:bookmarkStart w:id="574" w:name="_Toc225932449"/>
      <w:bookmarkStart w:id="575" w:name="_Toc225932889"/>
      <w:bookmarkStart w:id="576" w:name="_Toc225933329"/>
      <w:bookmarkStart w:id="577" w:name="_Toc225933769"/>
      <w:bookmarkStart w:id="578" w:name="_Toc225949076"/>
      <w:bookmarkStart w:id="579" w:name="_Toc225949705"/>
      <w:bookmarkStart w:id="580" w:name="_Toc225963750"/>
      <w:bookmarkStart w:id="581" w:name="_Toc225929751"/>
      <w:bookmarkStart w:id="582" w:name="_Toc225930203"/>
      <w:bookmarkStart w:id="583" w:name="_Toc225930655"/>
      <w:bookmarkStart w:id="584" w:name="_Toc225931113"/>
      <w:bookmarkStart w:id="585" w:name="_Toc225931571"/>
      <w:bookmarkStart w:id="586" w:name="_Toc225932010"/>
      <w:bookmarkStart w:id="587" w:name="_Toc225932450"/>
      <w:bookmarkStart w:id="588" w:name="_Toc225932890"/>
      <w:bookmarkStart w:id="589" w:name="_Toc225933330"/>
      <w:bookmarkStart w:id="590" w:name="_Toc225933770"/>
      <w:bookmarkStart w:id="591" w:name="_Toc225949077"/>
      <w:bookmarkStart w:id="592" w:name="_Toc225949706"/>
      <w:bookmarkStart w:id="593" w:name="_Toc225963751"/>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p>
    <w:p w14:paraId="4C21D2C2" w14:textId="77777777" w:rsidR="00C62D04" w:rsidRPr="009216E7" w:rsidRDefault="00C62D04">
      <w:pPr>
        <w:rPr>
          <w:rFonts w:eastAsiaTheme="majorEastAsia" w:cstheme="majorBidi"/>
          <w:b/>
          <w:bCs/>
          <w:color w:val="003399"/>
          <w:sz w:val="28"/>
          <w:szCs w:val="28"/>
          <w:lang w:val="en-US"/>
        </w:rPr>
      </w:pPr>
      <w:r w:rsidRPr="009216E7">
        <w:rPr>
          <w:lang w:val="en-US"/>
        </w:rPr>
        <w:br w:type="page"/>
      </w:r>
    </w:p>
    <w:p w14:paraId="219BF788" w14:textId="1982DB40" w:rsidR="00F328E6" w:rsidRDefault="00C62D04" w:rsidP="00A7626C">
      <w:pPr>
        <w:pStyle w:val="Titre1"/>
        <w:rPr>
          <w:lang w:val="fr-BE"/>
        </w:rPr>
      </w:pPr>
      <w:bookmarkStart w:id="594" w:name="_Toc226533720"/>
      <w:r>
        <w:rPr>
          <w:lang w:val="fr-BE"/>
        </w:rPr>
        <w:lastRenderedPageBreak/>
        <w:t xml:space="preserve">Annex I: </w:t>
      </w:r>
      <w:proofErr w:type="spellStart"/>
      <w:r>
        <w:rPr>
          <w:lang w:val="fr-BE"/>
        </w:rPr>
        <w:t>Legislative</w:t>
      </w:r>
      <w:proofErr w:type="spellEnd"/>
      <w:r>
        <w:rPr>
          <w:lang w:val="fr-BE"/>
        </w:rPr>
        <w:t xml:space="preserve"> </w:t>
      </w:r>
      <w:proofErr w:type="spellStart"/>
      <w:r>
        <w:rPr>
          <w:lang w:val="fr-BE"/>
        </w:rPr>
        <w:t>proposals</w:t>
      </w:r>
      <w:bookmarkEnd w:id="594"/>
      <w:proofErr w:type="spellEnd"/>
    </w:p>
    <w:p w14:paraId="3CD0A377" w14:textId="4DBF7474" w:rsidR="003A57C2" w:rsidRDefault="003A57C2">
      <w:pPr>
        <w:rPr>
          <w:szCs w:val="22"/>
          <w:lang w:val="fr-BE"/>
        </w:rPr>
      </w:pPr>
      <w:r>
        <w:rPr>
          <w:szCs w:val="22"/>
          <w:lang w:val="fr-BE"/>
        </w:rPr>
        <w:br w:type="page"/>
      </w:r>
    </w:p>
    <w:p w14:paraId="18161E1D" w14:textId="77777777" w:rsidR="001E7953" w:rsidRPr="0024535D" w:rsidRDefault="001E7953" w:rsidP="00700B94">
      <w:pPr>
        <w:pStyle w:val="Titre1"/>
        <w:numPr>
          <w:ilvl w:val="0"/>
          <w:numId w:val="56"/>
        </w:numPr>
        <w:rPr>
          <w:lang w:val="fr-FR"/>
        </w:rPr>
        <w:sectPr w:rsidR="001E7953" w:rsidRPr="0024535D" w:rsidSect="009216E7">
          <w:footerReference w:type="default" r:id="rId17"/>
          <w:pgSz w:w="11906" w:h="16838"/>
          <w:pgMar w:top="1417" w:right="1417" w:bottom="993" w:left="1417" w:header="708" w:footer="708" w:gutter="0"/>
          <w:cols w:space="708"/>
          <w:docGrid w:linePitch="360"/>
        </w:sectPr>
      </w:pPr>
    </w:p>
    <w:tbl>
      <w:tblPr>
        <w:tblW w:w="1545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8" w:type="dxa"/>
          <w:right w:w="48" w:type="dxa"/>
        </w:tblCellMar>
        <w:tblLook w:val="04A0" w:firstRow="1" w:lastRow="0" w:firstColumn="1" w:lastColumn="0" w:noHBand="0" w:noVBand="1"/>
      </w:tblPr>
      <w:tblGrid>
        <w:gridCol w:w="568"/>
        <w:gridCol w:w="1134"/>
        <w:gridCol w:w="1114"/>
        <w:gridCol w:w="1134"/>
        <w:gridCol w:w="1134"/>
        <w:gridCol w:w="4840"/>
        <w:gridCol w:w="5528"/>
      </w:tblGrid>
      <w:tr w:rsidR="00F26E61" w:rsidRPr="00F97146" w14:paraId="3FA7944F" w14:textId="77777777" w:rsidTr="0022597C">
        <w:trPr>
          <w:tblHeader/>
        </w:trPr>
        <w:tc>
          <w:tcPr>
            <w:tcW w:w="568" w:type="dxa"/>
          </w:tcPr>
          <w:p w14:paraId="70B837B2" w14:textId="77777777" w:rsidR="00F26E61" w:rsidRPr="00F97146" w:rsidRDefault="00F26E61" w:rsidP="00407A8E">
            <w:pPr>
              <w:spacing w:line="276" w:lineRule="auto"/>
              <w:ind w:right="-47"/>
              <w:jc w:val="center"/>
              <w:rPr>
                <w:b/>
                <w:iCs w:val="0"/>
                <w:sz w:val="18"/>
                <w:szCs w:val="14"/>
              </w:rPr>
            </w:pPr>
            <w:r w:rsidRPr="00F97146">
              <w:rPr>
                <w:b/>
                <w:iCs w:val="0"/>
                <w:sz w:val="18"/>
                <w:szCs w:val="14"/>
              </w:rPr>
              <w:lastRenderedPageBreak/>
              <w:t>Ref</w:t>
            </w:r>
          </w:p>
        </w:tc>
        <w:tc>
          <w:tcPr>
            <w:tcW w:w="1134" w:type="dxa"/>
            <w:tcBorders>
              <w:top w:val="single" w:sz="4" w:space="0" w:color="auto"/>
              <w:left w:val="single" w:sz="4" w:space="0" w:color="auto"/>
              <w:bottom w:val="single" w:sz="4" w:space="0" w:color="auto"/>
              <w:right w:val="single" w:sz="4" w:space="0" w:color="auto"/>
            </w:tcBorders>
            <w:hideMark/>
          </w:tcPr>
          <w:p w14:paraId="663DA77D" w14:textId="77777777" w:rsidR="00F26E61" w:rsidRPr="00F97146" w:rsidRDefault="00F26E61" w:rsidP="00407A8E">
            <w:pPr>
              <w:spacing w:line="276" w:lineRule="auto"/>
              <w:ind w:left="-48" w:firstLine="6"/>
              <w:jc w:val="center"/>
              <w:rPr>
                <w:b/>
                <w:iCs w:val="0"/>
                <w:sz w:val="18"/>
                <w:szCs w:val="14"/>
              </w:rPr>
            </w:pPr>
            <w:r w:rsidRPr="00F97146">
              <w:rPr>
                <w:b/>
                <w:iCs w:val="0"/>
                <w:sz w:val="18"/>
                <w:szCs w:val="14"/>
              </w:rPr>
              <w:t>Page no. Proposal</w:t>
            </w:r>
          </w:p>
        </w:tc>
        <w:tc>
          <w:tcPr>
            <w:tcW w:w="1114" w:type="dxa"/>
            <w:tcBorders>
              <w:top w:val="single" w:sz="4" w:space="0" w:color="auto"/>
              <w:left w:val="single" w:sz="4" w:space="0" w:color="auto"/>
              <w:bottom w:val="single" w:sz="4" w:space="0" w:color="auto"/>
              <w:right w:val="single" w:sz="4" w:space="0" w:color="auto"/>
            </w:tcBorders>
            <w:hideMark/>
          </w:tcPr>
          <w:p w14:paraId="664F621D" w14:textId="77777777" w:rsidR="00F26E61" w:rsidRPr="00F97146" w:rsidRDefault="00F26E61" w:rsidP="00407A8E">
            <w:pPr>
              <w:spacing w:line="276" w:lineRule="auto"/>
              <w:ind w:left="75"/>
              <w:jc w:val="center"/>
              <w:rPr>
                <w:b/>
                <w:iCs w:val="0"/>
                <w:sz w:val="18"/>
                <w:szCs w:val="14"/>
              </w:rPr>
            </w:pPr>
            <w:r w:rsidRPr="00F97146">
              <w:rPr>
                <w:b/>
                <w:iCs w:val="0"/>
                <w:sz w:val="18"/>
                <w:szCs w:val="14"/>
              </w:rPr>
              <w:t>Art</w:t>
            </w:r>
          </w:p>
          <w:p w14:paraId="0E73EE78" w14:textId="77777777" w:rsidR="00F26E61" w:rsidRPr="00F97146" w:rsidRDefault="00F26E61" w:rsidP="00407A8E">
            <w:pPr>
              <w:spacing w:line="276" w:lineRule="auto"/>
              <w:ind w:left="75"/>
              <w:jc w:val="center"/>
              <w:rPr>
                <w:b/>
                <w:iCs w:val="0"/>
                <w:sz w:val="18"/>
                <w:szCs w:val="14"/>
              </w:rPr>
            </w:pPr>
            <w:r w:rsidRPr="00F97146">
              <w:rPr>
                <w:b/>
                <w:iCs w:val="0"/>
                <w:sz w:val="18"/>
                <w:szCs w:val="14"/>
              </w:rPr>
              <w:t>/Annex</w:t>
            </w:r>
          </w:p>
        </w:tc>
        <w:tc>
          <w:tcPr>
            <w:tcW w:w="1134" w:type="dxa"/>
            <w:tcBorders>
              <w:top w:val="single" w:sz="4" w:space="0" w:color="auto"/>
              <w:left w:val="single" w:sz="4" w:space="0" w:color="auto"/>
              <w:bottom w:val="single" w:sz="4" w:space="0" w:color="auto"/>
              <w:right w:val="single" w:sz="4" w:space="0" w:color="auto"/>
            </w:tcBorders>
            <w:hideMark/>
          </w:tcPr>
          <w:p w14:paraId="109035B5" w14:textId="77777777" w:rsidR="00F26E61" w:rsidRPr="00F97146" w:rsidRDefault="00F26E61" w:rsidP="00407A8E">
            <w:pPr>
              <w:spacing w:line="276" w:lineRule="auto"/>
              <w:jc w:val="center"/>
              <w:rPr>
                <w:b/>
                <w:iCs w:val="0"/>
                <w:sz w:val="18"/>
                <w:szCs w:val="14"/>
              </w:rPr>
            </w:pPr>
            <w:r w:rsidRPr="00F97146">
              <w:rPr>
                <w:b/>
                <w:iCs w:val="0"/>
                <w:sz w:val="18"/>
                <w:szCs w:val="14"/>
              </w:rPr>
              <w:t>Clause/</w:t>
            </w:r>
            <w:r w:rsidRPr="00F97146">
              <w:rPr>
                <w:b/>
                <w:iCs w:val="0"/>
                <w:sz w:val="18"/>
                <w:szCs w:val="14"/>
              </w:rPr>
              <w:br/>
              <w:t>Subclause -Proposal</w:t>
            </w:r>
          </w:p>
        </w:tc>
        <w:tc>
          <w:tcPr>
            <w:tcW w:w="1134" w:type="dxa"/>
            <w:tcBorders>
              <w:top w:val="single" w:sz="4" w:space="0" w:color="auto"/>
              <w:left w:val="single" w:sz="4" w:space="0" w:color="auto"/>
              <w:bottom w:val="single" w:sz="4" w:space="0" w:color="auto"/>
              <w:right w:val="single" w:sz="4" w:space="0" w:color="auto"/>
            </w:tcBorders>
            <w:hideMark/>
          </w:tcPr>
          <w:p w14:paraId="07691881" w14:textId="77777777" w:rsidR="00F26E61" w:rsidRPr="00F97146" w:rsidRDefault="00F26E61" w:rsidP="00407A8E">
            <w:pPr>
              <w:spacing w:line="276" w:lineRule="auto"/>
              <w:ind w:left="14"/>
              <w:jc w:val="center"/>
              <w:rPr>
                <w:b/>
                <w:iCs w:val="0"/>
                <w:sz w:val="18"/>
                <w:szCs w:val="14"/>
              </w:rPr>
            </w:pPr>
            <w:r w:rsidRPr="00F97146">
              <w:rPr>
                <w:b/>
                <w:iCs w:val="0"/>
                <w:sz w:val="18"/>
                <w:szCs w:val="14"/>
              </w:rPr>
              <w:t>Point and Paragraph -Regulation</w:t>
            </w:r>
          </w:p>
        </w:tc>
        <w:tc>
          <w:tcPr>
            <w:tcW w:w="4840" w:type="dxa"/>
            <w:tcBorders>
              <w:top w:val="single" w:sz="4" w:space="0" w:color="auto"/>
              <w:left w:val="single" w:sz="4" w:space="0" w:color="auto"/>
              <w:bottom w:val="single" w:sz="4" w:space="0" w:color="auto"/>
              <w:right w:val="single" w:sz="4" w:space="0" w:color="auto"/>
            </w:tcBorders>
            <w:hideMark/>
          </w:tcPr>
          <w:p w14:paraId="65DDC5BB" w14:textId="77777777" w:rsidR="00F26E61" w:rsidRPr="00F97146" w:rsidRDefault="00F26E61" w:rsidP="00407A8E">
            <w:pPr>
              <w:spacing w:line="276" w:lineRule="auto"/>
              <w:ind w:left="39"/>
              <w:jc w:val="center"/>
              <w:rPr>
                <w:b/>
                <w:iCs w:val="0"/>
                <w:sz w:val="18"/>
                <w:szCs w:val="14"/>
              </w:rPr>
            </w:pPr>
            <w:r w:rsidRPr="00F97146">
              <w:rPr>
                <w:b/>
                <w:iCs w:val="0"/>
                <w:sz w:val="18"/>
                <w:szCs w:val="14"/>
              </w:rPr>
              <w:t>Comments</w:t>
            </w:r>
          </w:p>
        </w:tc>
        <w:tc>
          <w:tcPr>
            <w:tcW w:w="5528" w:type="dxa"/>
            <w:tcBorders>
              <w:top w:val="single" w:sz="4" w:space="0" w:color="auto"/>
              <w:left w:val="single" w:sz="4" w:space="0" w:color="auto"/>
              <w:bottom w:val="single" w:sz="4" w:space="0" w:color="auto"/>
              <w:right w:val="single" w:sz="4" w:space="0" w:color="auto"/>
            </w:tcBorders>
            <w:hideMark/>
          </w:tcPr>
          <w:p w14:paraId="07F791F8" w14:textId="77777777" w:rsidR="00F26E61" w:rsidRPr="00F97146" w:rsidRDefault="00F26E61" w:rsidP="00407A8E">
            <w:pPr>
              <w:spacing w:line="276" w:lineRule="auto"/>
              <w:ind w:left="25"/>
              <w:jc w:val="center"/>
              <w:rPr>
                <w:b/>
                <w:iCs w:val="0"/>
                <w:sz w:val="18"/>
                <w:szCs w:val="14"/>
              </w:rPr>
            </w:pPr>
            <w:r w:rsidRPr="00F97146">
              <w:rPr>
                <w:b/>
                <w:iCs w:val="0"/>
                <w:sz w:val="18"/>
                <w:szCs w:val="14"/>
              </w:rPr>
              <w:t>Proposed change</w:t>
            </w:r>
          </w:p>
        </w:tc>
      </w:tr>
      <w:tr w:rsidR="00F26E61" w:rsidRPr="00F97146" w14:paraId="57595BB2" w14:textId="77777777" w:rsidTr="0022597C">
        <w:tc>
          <w:tcPr>
            <w:tcW w:w="568" w:type="dxa"/>
          </w:tcPr>
          <w:p w14:paraId="1AF183E7" w14:textId="77777777" w:rsidR="00F26E61" w:rsidRPr="00F97146" w:rsidRDefault="00F26E61" w:rsidP="00407A8E">
            <w:pPr>
              <w:spacing w:line="276" w:lineRule="auto"/>
              <w:ind w:left="-48" w:firstLine="6"/>
              <w:jc w:val="center"/>
              <w:rPr>
                <w:bCs/>
                <w:iCs w:val="0"/>
                <w:sz w:val="18"/>
                <w:szCs w:val="14"/>
              </w:rPr>
            </w:pPr>
            <w:r w:rsidRPr="00F97146">
              <w:rPr>
                <w:bCs/>
                <w:iCs w:val="0"/>
                <w:sz w:val="18"/>
                <w:szCs w:val="14"/>
              </w:rPr>
              <w:t>1</w:t>
            </w:r>
          </w:p>
        </w:tc>
        <w:tc>
          <w:tcPr>
            <w:tcW w:w="1134" w:type="dxa"/>
            <w:tcBorders>
              <w:top w:val="single" w:sz="4" w:space="0" w:color="auto"/>
              <w:left w:val="single" w:sz="4" w:space="0" w:color="auto"/>
              <w:bottom w:val="single" w:sz="4" w:space="0" w:color="auto"/>
              <w:right w:val="single" w:sz="4" w:space="0" w:color="auto"/>
            </w:tcBorders>
          </w:tcPr>
          <w:p w14:paraId="3E5DE94B" w14:textId="77777777" w:rsidR="00F26E61" w:rsidRPr="00F97146" w:rsidRDefault="00F26E61" w:rsidP="00407A8E">
            <w:pPr>
              <w:spacing w:line="276" w:lineRule="auto"/>
              <w:ind w:left="-48" w:firstLine="6"/>
              <w:jc w:val="center"/>
              <w:rPr>
                <w:bCs/>
                <w:iCs w:val="0"/>
                <w:sz w:val="18"/>
                <w:szCs w:val="14"/>
              </w:rPr>
            </w:pPr>
            <w:r w:rsidRPr="00F97146">
              <w:rPr>
                <w:bCs/>
                <w:iCs w:val="0"/>
                <w:sz w:val="18"/>
                <w:szCs w:val="14"/>
              </w:rPr>
              <w:t>36</w:t>
            </w:r>
          </w:p>
        </w:tc>
        <w:tc>
          <w:tcPr>
            <w:tcW w:w="1114" w:type="dxa"/>
            <w:tcBorders>
              <w:top w:val="single" w:sz="4" w:space="0" w:color="auto"/>
              <w:left w:val="single" w:sz="4" w:space="0" w:color="auto"/>
              <w:bottom w:val="single" w:sz="4" w:space="0" w:color="auto"/>
              <w:right w:val="single" w:sz="4" w:space="0" w:color="auto"/>
            </w:tcBorders>
          </w:tcPr>
          <w:p w14:paraId="33CBBAD0" w14:textId="77777777" w:rsidR="00F26E61" w:rsidRPr="00F97146" w:rsidRDefault="00F26E61" w:rsidP="00407A8E">
            <w:pPr>
              <w:spacing w:line="276" w:lineRule="auto"/>
              <w:ind w:left="75"/>
              <w:jc w:val="center"/>
              <w:rPr>
                <w:bCs/>
                <w:iCs w:val="0"/>
                <w:sz w:val="18"/>
                <w:szCs w:val="14"/>
              </w:rPr>
            </w:pPr>
            <w:r w:rsidRPr="00F97146">
              <w:rPr>
                <w:bCs/>
                <w:iCs w:val="0"/>
                <w:sz w:val="18"/>
                <w:szCs w:val="14"/>
              </w:rPr>
              <w:t>1</w:t>
            </w:r>
          </w:p>
        </w:tc>
        <w:tc>
          <w:tcPr>
            <w:tcW w:w="1134" w:type="dxa"/>
            <w:tcBorders>
              <w:top w:val="single" w:sz="4" w:space="0" w:color="auto"/>
              <w:left w:val="single" w:sz="4" w:space="0" w:color="auto"/>
              <w:bottom w:val="single" w:sz="4" w:space="0" w:color="auto"/>
              <w:right w:val="single" w:sz="4" w:space="0" w:color="auto"/>
            </w:tcBorders>
          </w:tcPr>
          <w:p w14:paraId="29CA8BDD" w14:textId="77777777" w:rsidR="00F26E61" w:rsidRPr="00F97146" w:rsidRDefault="00F26E61" w:rsidP="00407A8E">
            <w:pPr>
              <w:spacing w:line="276" w:lineRule="auto"/>
              <w:jc w:val="center"/>
              <w:rPr>
                <w:bCs/>
                <w:iCs w:val="0"/>
                <w:sz w:val="18"/>
                <w:szCs w:val="14"/>
              </w:rPr>
            </w:pPr>
            <w:r w:rsidRPr="00F97146">
              <w:rPr>
                <w:bCs/>
                <w:iCs w:val="0"/>
                <w:sz w:val="18"/>
                <w:szCs w:val="14"/>
              </w:rPr>
              <w:t>2</w:t>
            </w:r>
          </w:p>
        </w:tc>
        <w:tc>
          <w:tcPr>
            <w:tcW w:w="1134" w:type="dxa"/>
            <w:tcBorders>
              <w:top w:val="single" w:sz="4" w:space="0" w:color="auto"/>
              <w:left w:val="single" w:sz="4" w:space="0" w:color="auto"/>
              <w:bottom w:val="single" w:sz="4" w:space="0" w:color="auto"/>
              <w:right w:val="single" w:sz="4" w:space="0" w:color="auto"/>
            </w:tcBorders>
          </w:tcPr>
          <w:p w14:paraId="5A647001" w14:textId="77777777" w:rsidR="00F26E61" w:rsidRPr="00F97146" w:rsidRDefault="00F26E61" w:rsidP="00407A8E">
            <w:pPr>
              <w:spacing w:line="276" w:lineRule="auto"/>
              <w:ind w:left="14"/>
              <w:jc w:val="center"/>
              <w:rPr>
                <w:bCs/>
                <w:iCs w:val="0"/>
                <w:sz w:val="18"/>
                <w:szCs w:val="14"/>
              </w:rPr>
            </w:pPr>
            <w:r w:rsidRPr="00F97146">
              <w:rPr>
                <w:bCs/>
                <w:iCs w:val="0"/>
                <w:sz w:val="18"/>
                <w:szCs w:val="14"/>
              </w:rPr>
              <w:t>b</w:t>
            </w:r>
          </w:p>
        </w:tc>
        <w:tc>
          <w:tcPr>
            <w:tcW w:w="4840" w:type="dxa"/>
            <w:tcBorders>
              <w:top w:val="single" w:sz="4" w:space="0" w:color="auto"/>
              <w:left w:val="single" w:sz="4" w:space="0" w:color="auto"/>
              <w:bottom w:val="single" w:sz="4" w:space="0" w:color="auto"/>
              <w:right w:val="single" w:sz="4" w:space="0" w:color="auto"/>
            </w:tcBorders>
          </w:tcPr>
          <w:p w14:paraId="5A29C495" w14:textId="77777777" w:rsidR="00F26E61" w:rsidRPr="00F97146" w:rsidRDefault="00F26E61" w:rsidP="00407A8E">
            <w:pPr>
              <w:spacing w:line="276" w:lineRule="auto"/>
              <w:ind w:left="39"/>
              <w:rPr>
                <w:bCs/>
                <w:iCs w:val="0"/>
                <w:sz w:val="18"/>
                <w:szCs w:val="14"/>
              </w:rPr>
            </w:pPr>
            <w:r w:rsidRPr="00F97146">
              <w:rPr>
                <w:bCs/>
                <w:iCs w:val="0"/>
                <w:sz w:val="18"/>
                <w:szCs w:val="14"/>
              </w:rPr>
              <w:t>The generic device group definition is too imprecise and widely cast. It is applied in widely differing ways which leads to lack of harmonisation. Which devices can be grouped is subject of prolonged discussions which decreases predictability and slows timelines.</w:t>
            </w:r>
          </w:p>
          <w:p w14:paraId="0F676964" w14:textId="77777777" w:rsidR="00F26E61" w:rsidRPr="00F97146" w:rsidRDefault="00F26E61" w:rsidP="00407A8E">
            <w:pPr>
              <w:spacing w:line="276" w:lineRule="auto"/>
              <w:ind w:left="39"/>
              <w:rPr>
                <w:bCs/>
                <w:iCs w:val="0"/>
                <w:sz w:val="18"/>
                <w:szCs w:val="14"/>
              </w:rPr>
            </w:pPr>
          </w:p>
          <w:p w14:paraId="0D42CBF7" w14:textId="77777777" w:rsidR="00F26E61" w:rsidRPr="00F97146" w:rsidRDefault="00F26E61" w:rsidP="00407A8E">
            <w:pPr>
              <w:spacing w:line="276" w:lineRule="auto"/>
              <w:ind w:left="39"/>
              <w:rPr>
                <w:iCs w:val="0"/>
                <w:sz w:val="18"/>
                <w:szCs w:val="14"/>
              </w:rPr>
            </w:pPr>
            <w:r w:rsidRPr="00F97146">
              <w:rPr>
                <w:bCs/>
                <w:iCs w:val="0"/>
                <w:sz w:val="18"/>
                <w:szCs w:val="14"/>
              </w:rPr>
              <w:t>As it is also now to become a key part of the definition of a well-established technology device, there is a need for accurate benchmarking to set a clear threshold directly in the regulation for this definition. There is guidance in MDCG 2019-13 that could be helpfully moved into the regulation to achieve this.</w:t>
            </w:r>
          </w:p>
        </w:tc>
        <w:tc>
          <w:tcPr>
            <w:tcW w:w="5528" w:type="dxa"/>
            <w:tcBorders>
              <w:top w:val="single" w:sz="4" w:space="0" w:color="auto"/>
              <w:left w:val="single" w:sz="4" w:space="0" w:color="auto"/>
              <w:bottom w:val="single" w:sz="4" w:space="0" w:color="auto"/>
              <w:right w:val="single" w:sz="4" w:space="0" w:color="auto"/>
            </w:tcBorders>
          </w:tcPr>
          <w:p w14:paraId="569783C4" w14:textId="77777777" w:rsidR="00F26E61" w:rsidRPr="00F97146" w:rsidRDefault="00F26E61" w:rsidP="00407A8E">
            <w:pPr>
              <w:spacing w:line="276" w:lineRule="auto"/>
              <w:ind w:left="25"/>
              <w:rPr>
                <w:bCs/>
                <w:iCs w:val="0"/>
                <w:sz w:val="18"/>
                <w:szCs w:val="14"/>
              </w:rPr>
            </w:pPr>
            <w:r w:rsidRPr="00F97146">
              <w:rPr>
                <w:bCs/>
                <w:iCs w:val="0"/>
                <w:sz w:val="18"/>
                <w:szCs w:val="14"/>
              </w:rPr>
              <w:t>Team NB proposed text (Art 2(7)):</w:t>
            </w:r>
          </w:p>
          <w:p w14:paraId="0DA6E985" w14:textId="77777777" w:rsidR="00F26E61" w:rsidRPr="00F97146" w:rsidRDefault="00F26E61" w:rsidP="00407A8E">
            <w:pPr>
              <w:spacing w:line="276" w:lineRule="auto"/>
              <w:ind w:left="25"/>
              <w:rPr>
                <w:i/>
                <w:sz w:val="18"/>
                <w:szCs w:val="14"/>
              </w:rPr>
            </w:pPr>
            <w:r w:rsidRPr="00F97146">
              <w:rPr>
                <w:bCs/>
                <w:i/>
                <w:sz w:val="18"/>
                <w:szCs w:val="14"/>
              </w:rPr>
              <w:t>“‘generic device group’ means a set of devices having the same or similar intended purposes and a commonality of technology allowing them to be classified in a generic manner not reflecting specific characteristics. </w:t>
            </w:r>
            <w:r w:rsidRPr="00F97146">
              <w:rPr>
                <w:b/>
                <w:i/>
                <w:sz w:val="18"/>
                <w:szCs w:val="14"/>
              </w:rPr>
              <w:t>There must be at least three devices in a group and they have the same EMDN code down to at least the fourth level</w:t>
            </w:r>
            <w:r w:rsidRPr="00F97146">
              <w:rPr>
                <w:bCs/>
                <w:i/>
                <w:sz w:val="18"/>
                <w:szCs w:val="14"/>
              </w:rPr>
              <w:t>;”</w:t>
            </w:r>
          </w:p>
        </w:tc>
      </w:tr>
      <w:tr w:rsidR="00F26E61" w:rsidRPr="00F97146" w14:paraId="5A732715" w14:textId="77777777" w:rsidTr="0022597C">
        <w:tc>
          <w:tcPr>
            <w:tcW w:w="568" w:type="dxa"/>
          </w:tcPr>
          <w:p w14:paraId="1A1FA757" w14:textId="77777777" w:rsidR="00F26E61" w:rsidRPr="00F97146" w:rsidRDefault="00F26E61" w:rsidP="00407A8E">
            <w:pPr>
              <w:spacing w:line="276" w:lineRule="auto"/>
              <w:ind w:left="-48" w:firstLine="6"/>
              <w:jc w:val="center"/>
              <w:rPr>
                <w:iCs w:val="0"/>
                <w:sz w:val="18"/>
                <w:szCs w:val="14"/>
                <w:lang w:val="en-US"/>
              </w:rPr>
            </w:pPr>
            <w:r w:rsidRPr="00F97146">
              <w:rPr>
                <w:iCs w:val="0"/>
                <w:sz w:val="18"/>
                <w:szCs w:val="14"/>
                <w:lang w:val="en-US"/>
              </w:rPr>
              <w:t>2</w:t>
            </w:r>
          </w:p>
        </w:tc>
        <w:tc>
          <w:tcPr>
            <w:tcW w:w="1134" w:type="dxa"/>
            <w:tcBorders>
              <w:top w:val="single" w:sz="4" w:space="0" w:color="auto"/>
              <w:left w:val="single" w:sz="4" w:space="0" w:color="auto"/>
              <w:bottom w:val="single" w:sz="4" w:space="0" w:color="auto"/>
              <w:right w:val="single" w:sz="4" w:space="0" w:color="auto"/>
            </w:tcBorders>
          </w:tcPr>
          <w:p w14:paraId="4B6368C1" w14:textId="77777777" w:rsidR="00F26E61" w:rsidRPr="00F97146" w:rsidRDefault="00F26E61" w:rsidP="00407A8E">
            <w:pPr>
              <w:spacing w:line="276" w:lineRule="auto"/>
              <w:ind w:left="-48" w:firstLine="6"/>
              <w:jc w:val="center"/>
              <w:rPr>
                <w:bCs/>
                <w:iCs w:val="0"/>
                <w:sz w:val="18"/>
                <w:szCs w:val="14"/>
              </w:rPr>
            </w:pPr>
            <w:r w:rsidRPr="00F97146">
              <w:rPr>
                <w:iCs w:val="0"/>
                <w:sz w:val="18"/>
                <w:szCs w:val="14"/>
                <w:lang w:val="en-US"/>
              </w:rPr>
              <w:t>36</w:t>
            </w:r>
          </w:p>
        </w:tc>
        <w:tc>
          <w:tcPr>
            <w:tcW w:w="1114" w:type="dxa"/>
            <w:tcBorders>
              <w:top w:val="single" w:sz="4" w:space="0" w:color="auto"/>
              <w:left w:val="single" w:sz="4" w:space="0" w:color="auto"/>
              <w:bottom w:val="single" w:sz="4" w:space="0" w:color="auto"/>
              <w:right w:val="single" w:sz="4" w:space="0" w:color="auto"/>
            </w:tcBorders>
          </w:tcPr>
          <w:p w14:paraId="3FB69E23" w14:textId="77777777" w:rsidR="00F26E61" w:rsidRPr="00F97146" w:rsidRDefault="00F26E61" w:rsidP="00407A8E">
            <w:pPr>
              <w:spacing w:line="276" w:lineRule="auto"/>
              <w:ind w:left="75"/>
              <w:jc w:val="center"/>
              <w:rPr>
                <w:bCs/>
                <w:iCs w:val="0"/>
                <w:sz w:val="18"/>
                <w:szCs w:val="14"/>
              </w:rPr>
            </w:pPr>
            <w:r w:rsidRPr="00F97146">
              <w:rPr>
                <w:bCs/>
                <w:iCs w:val="0"/>
                <w:sz w:val="18"/>
                <w:szCs w:val="14"/>
              </w:rPr>
              <w:t>1</w:t>
            </w:r>
          </w:p>
        </w:tc>
        <w:tc>
          <w:tcPr>
            <w:tcW w:w="1134" w:type="dxa"/>
            <w:tcBorders>
              <w:top w:val="single" w:sz="4" w:space="0" w:color="auto"/>
              <w:left w:val="single" w:sz="4" w:space="0" w:color="auto"/>
              <w:bottom w:val="single" w:sz="4" w:space="0" w:color="auto"/>
              <w:right w:val="single" w:sz="4" w:space="0" w:color="auto"/>
            </w:tcBorders>
          </w:tcPr>
          <w:p w14:paraId="5BDD7F60" w14:textId="77777777" w:rsidR="00F26E61" w:rsidRPr="00F97146" w:rsidDel="001D5A9E" w:rsidRDefault="00F26E61" w:rsidP="00407A8E">
            <w:pPr>
              <w:spacing w:line="276" w:lineRule="auto"/>
              <w:jc w:val="center"/>
              <w:rPr>
                <w:bCs/>
                <w:iCs w:val="0"/>
                <w:sz w:val="18"/>
                <w:szCs w:val="14"/>
              </w:rPr>
            </w:pPr>
            <w:r w:rsidRPr="00F97146">
              <w:rPr>
                <w:iCs w:val="0"/>
                <w:sz w:val="18"/>
                <w:szCs w:val="14"/>
                <w:lang w:val="en-US"/>
              </w:rPr>
              <w:t>2</w:t>
            </w:r>
          </w:p>
        </w:tc>
        <w:tc>
          <w:tcPr>
            <w:tcW w:w="1134" w:type="dxa"/>
            <w:tcBorders>
              <w:top w:val="single" w:sz="4" w:space="0" w:color="auto"/>
              <w:left w:val="single" w:sz="4" w:space="0" w:color="auto"/>
              <w:bottom w:val="single" w:sz="4" w:space="0" w:color="auto"/>
              <w:right w:val="single" w:sz="4" w:space="0" w:color="auto"/>
            </w:tcBorders>
          </w:tcPr>
          <w:p w14:paraId="5B6C7DD5" w14:textId="77777777" w:rsidR="00F26E61" w:rsidRPr="00F97146" w:rsidRDefault="00F26E61" w:rsidP="00407A8E">
            <w:pPr>
              <w:spacing w:line="276" w:lineRule="auto"/>
              <w:ind w:left="14"/>
              <w:jc w:val="center"/>
              <w:rPr>
                <w:bCs/>
                <w:iCs w:val="0"/>
                <w:sz w:val="18"/>
                <w:szCs w:val="14"/>
                <w:highlight w:val="yellow"/>
              </w:rPr>
            </w:pPr>
            <w:r w:rsidRPr="00F97146">
              <w:rPr>
                <w:bCs/>
                <w:iCs w:val="0"/>
                <w:sz w:val="18"/>
                <w:szCs w:val="14"/>
              </w:rPr>
              <w:t>d</w:t>
            </w:r>
          </w:p>
        </w:tc>
        <w:tc>
          <w:tcPr>
            <w:tcW w:w="4840" w:type="dxa"/>
            <w:tcBorders>
              <w:top w:val="single" w:sz="4" w:space="0" w:color="auto"/>
              <w:left w:val="single" w:sz="4" w:space="0" w:color="auto"/>
              <w:bottom w:val="single" w:sz="4" w:space="0" w:color="auto"/>
              <w:right w:val="single" w:sz="4" w:space="0" w:color="auto"/>
            </w:tcBorders>
          </w:tcPr>
          <w:p w14:paraId="6C244D29" w14:textId="77777777" w:rsidR="00F26E61" w:rsidRPr="00F97146" w:rsidRDefault="00F26E61" w:rsidP="00407A8E">
            <w:pPr>
              <w:spacing w:line="276" w:lineRule="auto"/>
              <w:ind w:left="39"/>
              <w:rPr>
                <w:iCs w:val="0"/>
                <w:sz w:val="18"/>
                <w:szCs w:val="14"/>
                <w:lang w:val="en-US"/>
              </w:rPr>
            </w:pPr>
            <w:r w:rsidRPr="00F97146">
              <w:rPr>
                <w:iCs w:val="0"/>
                <w:sz w:val="18"/>
                <w:szCs w:val="14"/>
                <w:lang w:val="en-US"/>
              </w:rPr>
              <w:t>There is a concern that the proposed sources are overly prescriptive and do not reflect the wealth of safety and performance related data and information which can be obtained from other data sources. For example, clinical data generated from real world clinical use of a device can be sourced via retrospective studies, survey studies, registry studies, case studies and unpublished reports on clinical experience. This is not clearly reflected in the proposed definition, potentially leading to their exclusion as data sources. Additionally, there is no consideration of the role of system level clinical data which in some cases can indirectly inform safety and performance. For example, in the case of instruments designed for use with a specific implant.</w:t>
            </w:r>
          </w:p>
          <w:p w14:paraId="47B1169B" w14:textId="77777777" w:rsidR="00F26E61" w:rsidRPr="00F97146" w:rsidRDefault="00F26E61" w:rsidP="00407A8E">
            <w:pPr>
              <w:spacing w:line="276" w:lineRule="auto"/>
              <w:ind w:left="39"/>
              <w:rPr>
                <w:iCs w:val="0"/>
                <w:sz w:val="18"/>
                <w:szCs w:val="14"/>
                <w:lang w:val="en-US"/>
              </w:rPr>
            </w:pPr>
          </w:p>
          <w:p w14:paraId="6FBD03C2" w14:textId="77777777" w:rsidR="00F26E61" w:rsidRPr="00F97146" w:rsidRDefault="00F26E61" w:rsidP="00407A8E">
            <w:pPr>
              <w:spacing w:line="276" w:lineRule="auto"/>
              <w:ind w:left="39"/>
              <w:rPr>
                <w:iCs w:val="0"/>
                <w:sz w:val="18"/>
                <w:szCs w:val="14"/>
                <w:lang w:val="en-US"/>
              </w:rPr>
            </w:pPr>
            <w:r w:rsidRPr="00F97146">
              <w:rPr>
                <w:iCs w:val="0"/>
                <w:sz w:val="18"/>
                <w:szCs w:val="14"/>
                <w:lang w:val="en-US"/>
              </w:rPr>
              <w:t xml:space="preserve">There is concern that the introduction of the requirement for clinical experience to be published in “peer-reviewed </w:t>
            </w:r>
            <w:r w:rsidRPr="00F97146">
              <w:rPr>
                <w:iCs w:val="0"/>
                <w:sz w:val="18"/>
                <w:szCs w:val="14"/>
                <w:lang w:val="en-US"/>
              </w:rPr>
              <w:lastRenderedPageBreak/>
              <w:t>scientific literature” creates an artificial threshold regarding the quality of clinical data, such that a potentially misleading narrative is constructed where the “peer-reviewed” in “peer-reviewed scientific literature” automatically indicates the source of clinical data to be reliable. Based on the collective experience of Team NB, a more reliable and predictable indicator of how a device performs in the clinical setting requires consideration of all potential data sources.</w:t>
            </w:r>
          </w:p>
          <w:p w14:paraId="4146264F" w14:textId="77777777" w:rsidR="00F26E61" w:rsidRPr="00F97146" w:rsidRDefault="00F26E61" w:rsidP="00407A8E">
            <w:pPr>
              <w:spacing w:line="276" w:lineRule="auto"/>
              <w:ind w:left="39"/>
              <w:rPr>
                <w:iCs w:val="0"/>
                <w:sz w:val="18"/>
                <w:szCs w:val="14"/>
                <w:lang w:val="en-US"/>
              </w:rPr>
            </w:pPr>
          </w:p>
          <w:p w14:paraId="3B386FDA" w14:textId="77777777" w:rsidR="00F26E61" w:rsidRPr="00F97146" w:rsidRDefault="00F26E61" w:rsidP="00407A8E">
            <w:pPr>
              <w:spacing w:line="276" w:lineRule="auto"/>
              <w:ind w:left="39"/>
              <w:rPr>
                <w:iCs w:val="0"/>
                <w:sz w:val="18"/>
                <w:szCs w:val="14"/>
                <w:lang w:val="en-US"/>
              </w:rPr>
            </w:pPr>
            <w:r w:rsidRPr="00F97146">
              <w:rPr>
                <w:iCs w:val="0"/>
                <w:sz w:val="18"/>
                <w:szCs w:val="14"/>
                <w:lang w:val="en-US"/>
              </w:rPr>
              <w:t>Via the clinical evaluation process, the quality, reliability and relevance of the clinical data, irrespective of its source, must be appraised. This appraisal is subject to scrutiny, ensuring any data which is inappropriate to support device safety and performance is excluded from further analysis.</w:t>
            </w:r>
          </w:p>
          <w:p w14:paraId="7F27DF26" w14:textId="77777777" w:rsidR="00F26E61" w:rsidRPr="00F97146" w:rsidRDefault="00F26E61" w:rsidP="00407A8E">
            <w:pPr>
              <w:spacing w:line="276" w:lineRule="auto"/>
              <w:ind w:left="39"/>
              <w:rPr>
                <w:iCs w:val="0"/>
                <w:sz w:val="18"/>
                <w:szCs w:val="14"/>
                <w:lang w:val="en-US"/>
              </w:rPr>
            </w:pPr>
          </w:p>
          <w:p w14:paraId="37A8B6A8" w14:textId="77777777" w:rsidR="00F26E61" w:rsidRPr="00F97146" w:rsidRDefault="00F26E61" w:rsidP="00407A8E">
            <w:pPr>
              <w:spacing w:line="276" w:lineRule="auto"/>
              <w:ind w:left="39"/>
              <w:rPr>
                <w:iCs w:val="0"/>
                <w:sz w:val="18"/>
                <w:szCs w:val="14"/>
                <w:lang w:val="en-US"/>
              </w:rPr>
            </w:pPr>
            <w:r w:rsidRPr="00F97146">
              <w:rPr>
                <w:iCs w:val="0"/>
                <w:sz w:val="18"/>
                <w:szCs w:val="14"/>
                <w:lang w:val="en-US"/>
              </w:rPr>
              <w:t>By failing to consider all potential sources of data and information generated from clinical use of a device, there is a concern that patient access to certain devices may be delayed due to:</w:t>
            </w:r>
          </w:p>
          <w:p w14:paraId="5E741CA0" w14:textId="77777777" w:rsidR="00F26E61" w:rsidRPr="00F97146" w:rsidRDefault="00F26E61" w:rsidP="00F26E61">
            <w:pPr>
              <w:pStyle w:val="Paragraphedeliste"/>
              <w:numPr>
                <w:ilvl w:val="0"/>
                <w:numId w:val="79"/>
              </w:numPr>
              <w:spacing w:after="0" w:line="276" w:lineRule="auto"/>
              <w:rPr>
                <w:iCs w:val="0"/>
                <w:sz w:val="18"/>
                <w:szCs w:val="14"/>
                <w:lang w:val="en-US"/>
              </w:rPr>
            </w:pPr>
            <w:r w:rsidRPr="00F97146">
              <w:rPr>
                <w:iCs w:val="0"/>
                <w:sz w:val="18"/>
                <w:szCs w:val="14"/>
                <w:lang w:val="en-US"/>
              </w:rPr>
              <w:t>The need for manufacturers to generate new data and information via the sources prescribed by the MDR rather than relying on alternative and meaningful sources of real-world data</w:t>
            </w:r>
          </w:p>
          <w:p w14:paraId="277B1EE9" w14:textId="77777777" w:rsidR="00F26E61" w:rsidRPr="00F97146" w:rsidRDefault="00F26E61" w:rsidP="00F26E61">
            <w:pPr>
              <w:pStyle w:val="Paragraphedeliste"/>
              <w:numPr>
                <w:ilvl w:val="0"/>
                <w:numId w:val="79"/>
              </w:numPr>
              <w:spacing w:after="0" w:line="276" w:lineRule="auto"/>
              <w:rPr>
                <w:iCs w:val="0"/>
                <w:sz w:val="18"/>
                <w:szCs w:val="14"/>
                <w:lang w:val="en-US"/>
              </w:rPr>
            </w:pPr>
            <w:r w:rsidRPr="00F97146">
              <w:rPr>
                <w:iCs w:val="0"/>
                <w:sz w:val="18"/>
                <w:szCs w:val="14"/>
                <w:lang w:val="en-US"/>
              </w:rPr>
              <w:t xml:space="preserve">Inappropriate application of Art 61(10) for lower risk devices due to a lack of availability of clinical data from the specific sources defined by the proposed amendment, rather than its appropriate application </w:t>
            </w:r>
            <w:r w:rsidRPr="00F97146">
              <w:rPr>
                <w:iCs w:val="0"/>
                <w:sz w:val="18"/>
                <w:szCs w:val="14"/>
                <w:lang w:val="en-US"/>
              </w:rPr>
              <w:lastRenderedPageBreak/>
              <w:t>(i.e., when clinical data are deemed not appropriate to demonstrate compliance with the GSPRs)</w:t>
            </w:r>
          </w:p>
          <w:p w14:paraId="395DA2FE" w14:textId="77777777" w:rsidR="00F26E61" w:rsidRPr="00F97146" w:rsidRDefault="00F26E61" w:rsidP="00F26E61">
            <w:pPr>
              <w:pStyle w:val="Paragraphedeliste"/>
              <w:numPr>
                <w:ilvl w:val="0"/>
                <w:numId w:val="79"/>
              </w:numPr>
              <w:spacing w:after="0" w:line="276" w:lineRule="auto"/>
              <w:rPr>
                <w:iCs w:val="0"/>
                <w:sz w:val="18"/>
                <w:szCs w:val="14"/>
                <w:lang w:val="en-US"/>
              </w:rPr>
            </w:pPr>
            <w:r w:rsidRPr="00F97146">
              <w:rPr>
                <w:iCs w:val="0"/>
                <w:sz w:val="18"/>
                <w:szCs w:val="14"/>
                <w:lang w:val="en-US"/>
              </w:rPr>
              <w:t>Prioritization, by manufacturers, of other global jurisdictions over the EU due to the perception that other jurisdictions accept a wider range of alternative clinical data sources</w:t>
            </w:r>
          </w:p>
        </w:tc>
        <w:tc>
          <w:tcPr>
            <w:tcW w:w="5528" w:type="dxa"/>
            <w:tcBorders>
              <w:top w:val="single" w:sz="4" w:space="0" w:color="auto"/>
              <w:left w:val="single" w:sz="4" w:space="0" w:color="auto"/>
              <w:bottom w:val="single" w:sz="4" w:space="0" w:color="auto"/>
              <w:right w:val="single" w:sz="4" w:space="0" w:color="auto"/>
            </w:tcBorders>
          </w:tcPr>
          <w:p w14:paraId="5842B5A6" w14:textId="77777777" w:rsidR="00F26E61" w:rsidRPr="00F97146" w:rsidRDefault="00F26E61" w:rsidP="00407A8E">
            <w:pPr>
              <w:spacing w:line="276" w:lineRule="auto"/>
              <w:ind w:left="25"/>
              <w:rPr>
                <w:iCs w:val="0"/>
                <w:sz w:val="18"/>
                <w:szCs w:val="14"/>
                <w:lang w:val="en-US"/>
              </w:rPr>
            </w:pPr>
            <w:r w:rsidRPr="00F97146">
              <w:rPr>
                <w:iCs w:val="0"/>
                <w:sz w:val="18"/>
                <w:szCs w:val="14"/>
                <w:lang w:val="en-US"/>
              </w:rPr>
              <w:lastRenderedPageBreak/>
              <w:t>The definition for clinical data should be more closely aligned with the widely accepted definitions used by the global regulatory community (for example, IMDRF MDCE WG/N56FINAL:2019, MEDDEV 2.7/1 Rev 4), thereby promoting greater harmonization across international regulatory agencies, in accordance with point 5 of the preamble to the regulation and acceptance of a wider range of clinical data sources. In addition, the definition should be updated to reflect the potential use of system level data where relevant.</w:t>
            </w:r>
          </w:p>
          <w:p w14:paraId="123F972C" w14:textId="77777777" w:rsidR="00F26E61" w:rsidRPr="00F97146" w:rsidRDefault="00F26E61" w:rsidP="00407A8E">
            <w:pPr>
              <w:spacing w:line="276" w:lineRule="auto"/>
              <w:ind w:left="25"/>
              <w:rPr>
                <w:iCs w:val="0"/>
                <w:sz w:val="18"/>
                <w:szCs w:val="14"/>
                <w:lang w:val="en-US"/>
              </w:rPr>
            </w:pPr>
          </w:p>
          <w:p w14:paraId="2C971BBF" w14:textId="77777777" w:rsidR="00F26E61" w:rsidRPr="00F97146" w:rsidRDefault="00F26E61" w:rsidP="00407A8E">
            <w:pPr>
              <w:spacing w:line="276" w:lineRule="auto"/>
              <w:ind w:left="25"/>
              <w:rPr>
                <w:iCs w:val="0"/>
                <w:sz w:val="18"/>
                <w:szCs w:val="14"/>
                <w:lang w:val="en-US"/>
              </w:rPr>
            </w:pPr>
            <w:r w:rsidRPr="00F97146">
              <w:rPr>
                <w:iCs w:val="0"/>
                <w:sz w:val="18"/>
                <w:szCs w:val="14"/>
                <w:lang w:val="en-US"/>
              </w:rPr>
              <w:t xml:space="preserve">Team NB proposed text (Art 2(48)): </w:t>
            </w:r>
          </w:p>
          <w:p w14:paraId="3C104108" w14:textId="77777777" w:rsidR="00F26E61" w:rsidRPr="00F97146" w:rsidRDefault="00F26E61" w:rsidP="00407A8E">
            <w:pPr>
              <w:spacing w:line="276" w:lineRule="auto"/>
              <w:ind w:left="25"/>
              <w:rPr>
                <w:i/>
                <w:sz w:val="18"/>
                <w:szCs w:val="14"/>
                <w:lang w:val="en-US"/>
              </w:rPr>
            </w:pPr>
            <w:r w:rsidRPr="00F97146">
              <w:rPr>
                <w:i/>
                <w:sz w:val="18"/>
                <w:szCs w:val="14"/>
                <w:lang w:val="en-US"/>
              </w:rPr>
              <w:t xml:space="preserve">“‘clinical data’ means </w:t>
            </w:r>
            <w:r w:rsidRPr="00F97146">
              <w:rPr>
                <w:b/>
                <w:bCs/>
                <w:i/>
                <w:sz w:val="18"/>
                <w:szCs w:val="14"/>
                <w:lang w:val="en-US"/>
              </w:rPr>
              <w:t>safety or performance information</w:t>
            </w:r>
            <w:r w:rsidRPr="00F97146">
              <w:rPr>
                <w:i/>
                <w:sz w:val="18"/>
                <w:szCs w:val="14"/>
                <w:lang w:val="en-US"/>
              </w:rPr>
              <w:t xml:space="preserve"> that is generated from </w:t>
            </w:r>
            <w:r w:rsidRPr="00F97146">
              <w:rPr>
                <w:b/>
                <w:bCs/>
                <w:i/>
                <w:sz w:val="18"/>
                <w:szCs w:val="14"/>
                <w:lang w:val="en-US"/>
              </w:rPr>
              <w:t>clinical and/or investigational</w:t>
            </w:r>
            <w:r w:rsidRPr="00F97146">
              <w:rPr>
                <w:i/>
                <w:sz w:val="18"/>
                <w:szCs w:val="14"/>
                <w:lang w:val="en-US"/>
              </w:rPr>
              <w:t xml:space="preserve"> use of a device</w:t>
            </w:r>
            <w:r w:rsidRPr="00F97146">
              <w:rPr>
                <w:b/>
                <w:bCs/>
                <w:i/>
                <w:sz w:val="18"/>
                <w:szCs w:val="14"/>
                <w:lang w:val="en-US"/>
              </w:rPr>
              <w:t>, or where relevant arising from use of a device within a system, on humans for treatment, diagnosis, patient management or public health purposes.</w:t>
            </w:r>
            <w:r w:rsidRPr="00F97146">
              <w:rPr>
                <w:i/>
                <w:sz w:val="18"/>
                <w:szCs w:val="14"/>
                <w:lang w:val="en-US"/>
              </w:rPr>
              <w:t>”</w:t>
            </w:r>
          </w:p>
          <w:p w14:paraId="569BB728" w14:textId="77777777" w:rsidR="00F26E61" w:rsidRPr="00F97146" w:rsidRDefault="00F26E61" w:rsidP="00407A8E">
            <w:pPr>
              <w:spacing w:line="276" w:lineRule="auto"/>
              <w:ind w:left="25"/>
              <w:rPr>
                <w:iCs w:val="0"/>
                <w:sz w:val="18"/>
                <w:szCs w:val="14"/>
                <w:lang w:val="en-US"/>
              </w:rPr>
            </w:pPr>
          </w:p>
          <w:p w14:paraId="2ECE5EE9" w14:textId="77777777" w:rsidR="00F26E61" w:rsidRPr="00F97146" w:rsidRDefault="00F26E61" w:rsidP="00407A8E">
            <w:pPr>
              <w:spacing w:line="276" w:lineRule="auto"/>
              <w:ind w:left="25"/>
              <w:rPr>
                <w:iCs w:val="0"/>
                <w:sz w:val="18"/>
                <w:szCs w:val="14"/>
                <w:lang w:val="en-US"/>
              </w:rPr>
            </w:pPr>
          </w:p>
          <w:p w14:paraId="3E1BE145" w14:textId="77777777" w:rsidR="00F26E61" w:rsidRPr="00F97146" w:rsidRDefault="00F26E61" w:rsidP="00407A8E">
            <w:pPr>
              <w:spacing w:line="276" w:lineRule="auto"/>
              <w:ind w:left="25"/>
              <w:rPr>
                <w:iCs w:val="0"/>
                <w:sz w:val="18"/>
                <w:szCs w:val="14"/>
                <w:lang w:val="en-US"/>
              </w:rPr>
            </w:pPr>
          </w:p>
          <w:p w14:paraId="4E9DD8A0" w14:textId="77777777" w:rsidR="00F26E61" w:rsidRPr="00F97146" w:rsidRDefault="00F26E61" w:rsidP="00407A8E">
            <w:pPr>
              <w:spacing w:line="276" w:lineRule="auto"/>
              <w:ind w:left="25"/>
              <w:rPr>
                <w:iCs w:val="0"/>
                <w:sz w:val="18"/>
                <w:szCs w:val="14"/>
                <w:lang w:val="en-US"/>
              </w:rPr>
            </w:pPr>
          </w:p>
          <w:p w14:paraId="188C53AF" w14:textId="77777777" w:rsidR="00F26E61" w:rsidRPr="00F97146" w:rsidRDefault="00F26E61" w:rsidP="00407A8E">
            <w:pPr>
              <w:spacing w:line="276" w:lineRule="auto"/>
              <w:ind w:left="25"/>
              <w:rPr>
                <w:b/>
                <w:iCs w:val="0"/>
                <w:sz w:val="18"/>
                <w:szCs w:val="14"/>
              </w:rPr>
            </w:pPr>
          </w:p>
        </w:tc>
      </w:tr>
      <w:tr w:rsidR="00F26E61" w:rsidRPr="00F97146" w14:paraId="3215D5A0" w14:textId="77777777" w:rsidTr="0022597C">
        <w:tc>
          <w:tcPr>
            <w:tcW w:w="568" w:type="dxa"/>
          </w:tcPr>
          <w:p w14:paraId="0EAF278D" w14:textId="77777777" w:rsidR="00F26E61" w:rsidRPr="00F97146" w:rsidRDefault="00F26E61" w:rsidP="00407A8E">
            <w:pPr>
              <w:spacing w:line="276" w:lineRule="auto"/>
              <w:ind w:left="-48" w:firstLine="6"/>
              <w:jc w:val="center"/>
              <w:rPr>
                <w:bCs/>
                <w:iCs w:val="0"/>
                <w:sz w:val="18"/>
                <w:szCs w:val="14"/>
              </w:rPr>
            </w:pPr>
            <w:r w:rsidRPr="00F97146">
              <w:rPr>
                <w:bCs/>
                <w:iCs w:val="0"/>
                <w:sz w:val="18"/>
                <w:szCs w:val="14"/>
              </w:rPr>
              <w:lastRenderedPageBreak/>
              <w:t>3</w:t>
            </w:r>
          </w:p>
        </w:tc>
        <w:tc>
          <w:tcPr>
            <w:tcW w:w="1134" w:type="dxa"/>
            <w:tcBorders>
              <w:top w:val="single" w:sz="4" w:space="0" w:color="auto"/>
              <w:left w:val="single" w:sz="4" w:space="0" w:color="auto"/>
              <w:bottom w:val="single" w:sz="4" w:space="0" w:color="auto"/>
              <w:right w:val="single" w:sz="4" w:space="0" w:color="auto"/>
            </w:tcBorders>
          </w:tcPr>
          <w:p w14:paraId="708CF44F" w14:textId="77777777" w:rsidR="00F26E61" w:rsidRPr="00F97146" w:rsidRDefault="00F26E61" w:rsidP="00407A8E">
            <w:pPr>
              <w:spacing w:line="276" w:lineRule="auto"/>
              <w:ind w:left="-48" w:firstLine="6"/>
              <w:jc w:val="center"/>
              <w:rPr>
                <w:bCs/>
                <w:iCs w:val="0"/>
                <w:sz w:val="18"/>
                <w:szCs w:val="14"/>
              </w:rPr>
            </w:pPr>
            <w:r w:rsidRPr="00F97146">
              <w:rPr>
                <w:bCs/>
                <w:iCs w:val="0"/>
                <w:sz w:val="18"/>
                <w:szCs w:val="14"/>
              </w:rPr>
              <w:t>36</w:t>
            </w:r>
          </w:p>
        </w:tc>
        <w:tc>
          <w:tcPr>
            <w:tcW w:w="1114" w:type="dxa"/>
            <w:tcBorders>
              <w:top w:val="single" w:sz="4" w:space="0" w:color="auto"/>
              <w:left w:val="single" w:sz="4" w:space="0" w:color="auto"/>
              <w:bottom w:val="single" w:sz="4" w:space="0" w:color="auto"/>
              <w:right w:val="single" w:sz="4" w:space="0" w:color="auto"/>
            </w:tcBorders>
          </w:tcPr>
          <w:p w14:paraId="6A855B5B" w14:textId="77777777" w:rsidR="00F26E61" w:rsidRPr="00F97146" w:rsidRDefault="00F26E61" w:rsidP="00407A8E">
            <w:pPr>
              <w:spacing w:line="276" w:lineRule="auto"/>
              <w:ind w:left="75"/>
              <w:jc w:val="center"/>
              <w:rPr>
                <w:bCs/>
                <w:iCs w:val="0"/>
                <w:sz w:val="18"/>
                <w:szCs w:val="14"/>
              </w:rPr>
            </w:pPr>
            <w:r w:rsidRPr="00F97146">
              <w:rPr>
                <w:bCs/>
                <w:iCs w:val="0"/>
                <w:sz w:val="18"/>
                <w:szCs w:val="14"/>
              </w:rPr>
              <w:t>1</w:t>
            </w:r>
          </w:p>
        </w:tc>
        <w:tc>
          <w:tcPr>
            <w:tcW w:w="1134" w:type="dxa"/>
            <w:tcBorders>
              <w:top w:val="single" w:sz="4" w:space="0" w:color="auto"/>
              <w:left w:val="single" w:sz="4" w:space="0" w:color="auto"/>
              <w:bottom w:val="single" w:sz="4" w:space="0" w:color="auto"/>
              <w:right w:val="single" w:sz="4" w:space="0" w:color="auto"/>
            </w:tcBorders>
          </w:tcPr>
          <w:p w14:paraId="190E9830" w14:textId="77777777" w:rsidR="00F26E61" w:rsidRPr="00F97146" w:rsidRDefault="00F26E61" w:rsidP="00407A8E">
            <w:pPr>
              <w:spacing w:line="276" w:lineRule="auto"/>
              <w:jc w:val="center"/>
              <w:rPr>
                <w:bCs/>
                <w:iCs w:val="0"/>
                <w:sz w:val="18"/>
                <w:szCs w:val="14"/>
              </w:rPr>
            </w:pPr>
            <w:r w:rsidRPr="00F97146">
              <w:rPr>
                <w:bCs/>
                <w:iCs w:val="0"/>
                <w:sz w:val="18"/>
                <w:szCs w:val="14"/>
              </w:rPr>
              <w:t>2</w:t>
            </w:r>
          </w:p>
        </w:tc>
        <w:tc>
          <w:tcPr>
            <w:tcW w:w="1134" w:type="dxa"/>
            <w:tcBorders>
              <w:top w:val="single" w:sz="4" w:space="0" w:color="auto"/>
              <w:left w:val="single" w:sz="4" w:space="0" w:color="auto"/>
              <w:bottom w:val="single" w:sz="4" w:space="0" w:color="auto"/>
              <w:right w:val="single" w:sz="4" w:space="0" w:color="auto"/>
            </w:tcBorders>
          </w:tcPr>
          <w:p w14:paraId="5FF13304" w14:textId="77777777" w:rsidR="00F26E61" w:rsidRPr="00F97146" w:rsidRDefault="00F26E61" w:rsidP="00407A8E">
            <w:pPr>
              <w:spacing w:line="276" w:lineRule="auto"/>
              <w:ind w:left="14"/>
              <w:jc w:val="center"/>
              <w:rPr>
                <w:bCs/>
                <w:iCs w:val="0"/>
                <w:sz w:val="18"/>
                <w:szCs w:val="14"/>
                <w:highlight w:val="yellow"/>
              </w:rPr>
            </w:pPr>
            <w:r w:rsidRPr="00F97146">
              <w:rPr>
                <w:bCs/>
                <w:iCs w:val="0"/>
                <w:sz w:val="18"/>
                <w:szCs w:val="14"/>
              </w:rPr>
              <w:t>e(72)</w:t>
            </w:r>
          </w:p>
        </w:tc>
        <w:tc>
          <w:tcPr>
            <w:tcW w:w="4840" w:type="dxa"/>
            <w:tcBorders>
              <w:top w:val="single" w:sz="4" w:space="0" w:color="auto"/>
              <w:left w:val="single" w:sz="4" w:space="0" w:color="auto"/>
              <w:bottom w:val="single" w:sz="4" w:space="0" w:color="auto"/>
              <w:right w:val="single" w:sz="4" w:space="0" w:color="auto"/>
            </w:tcBorders>
          </w:tcPr>
          <w:p w14:paraId="433F0887" w14:textId="77777777" w:rsidR="00F26E61" w:rsidRPr="00F97146" w:rsidRDefault="00F26E61" w:rsidP="00407A8E">
            <w:pPr>
              <w:spacing w:line="276" w:lineRule="auto"/>
              <w:ind w:left="39"/>
              <w:rPr>
                <w:iCs w:val="0"/>
                <w:sz w:val="18"/>
                <w:szCs w:val="14"/>
              </w:rPr>
            </w:pPr>
            <w:r w:rsidRPr="00F97146">
              <w:rPr>
                <w:iCs w:val="0"/>
                <w:sz w:val="18"/>
                <w:szCs w:val="14"/>
              </w:rPr>
              <w:t>A significant risk comes from the combination of M</w:t>
            </w:r>
            <w:r>
              <w:rPr>
                <w:iCs w:val="0"/>
                <w:sz w:val="18"/>
                <w:szCs w:val="14"/>
              </w:rPr>
              <w:t xml:space="preserve">DCG </w:t>
            </w:r>
            <w:r w:rsidRPr="00F97146">
              <w:rPr>
                <w:iCs w:val="0"/>
                <w:sz w:val="18"/>
                <w:szCs w:val="14"/>
              </w:rPr>
              <w:t>2020-6 with this newly expanded definition of well-established technology</w:t>
            </w:r>
            <w:r>
              <w:rPr>
                <w:iCs w:val="0"/>
                <w:sz w:val="18"/>
                <w:szCs w:val="14"/>
              </w:rPr>
              <w:t xml:space="preserve"> (WET)</w:t>
            </w:r>
            <w:r w:rsidRPr="00F97146">
              <w:rPr>
                <w:iCs w:val="0"/>
                <w:sz w:val="18"/>
                <w:szCs w:val="14"/>
              </w:rPr>
              <w:t>. This guidance introduced the idea of ‘level 6’ clinical data in Annex III and in the text, sections 6.2.2, 6.5.e. This is widely interpreted to both include new as well as legacy devices. It is also interpreted to mean if a device is a WET device, it can use clinical data from a similar, but not equivalent, device as if it were data about the device. This means that WET devices effectively only have to show similarity, not equivalence, to gain the benefits of demonstrating equivalence.</w:t>
            </w:r>
          </w:p>
          <w:p w14:paraId="64370858" w14:textId="77777777" w:rsidR="00F26E61" w:rsidRPr="00F97146" w:rsidRDefault="00F26E61" w:rsidP="00407A8E">
            <w:pPr>
              <w:spacing w:line="276" w:lineRule="auto"/>
              <w:ind w:left="39"/>
              <w:rPr>
                <w:iCs w:val="0"/>
                <w:sz w:val="18"/>
                <w:szCs w:val="14"/>
              </w:rPr>
            </w:pPr>
          </w:p>
          <w:p w14:paraId="2E4807FD" w14:textId="77777777" w:rsidR="00F26E61" w:rsidRPr="00F97146" w:rsidRDefault="00F26E61" w:rsidP="00407A8E">
            <w:pPr>
              <w:spacing w:line="276" w:lineRule="auto"/>
              <w:ind w:left="39"/>
              <w:rPr>
                <w:iCs w:val="0"/>
                <w:sz w:val="18"/>
                <w:szCs w:val="14"/>
              </w:rPr>
            </w:pPr>
            <w:r w:rsidRPr="00F97146">
              <w:rPr>
                <w:iCs w:val="0"/>
                <w:sz w:val="18"/>
                <w:szCs w:val="14"/>
              </w:rPr>
              <w:t xml:space="preserve">If this is intended, it should be specifically written into the </w:t>
            </w:r>
            <w:r>
              <w:rPr>
                <w:iCs w:val="0"/>
                <w:sz w:val="18"/>
                <w:szCs w:val="14"/>
              </w:rPr>
              <w:t>MDR.</w:t>
            </w:r>
            <w:r w:rsidRPr="00F97146">
              <w:rPr>
                <w:iCs w:val="0"/>
                <w:sz w:val="18"/>
                <w:szCs w:val="14"/>
              </w:rPr>
              <w:t xml:space="preserve"> More likely this is not intended, and MDCG 2020-6 should be withdrawn or re-written to clarify this point.</w:t>
            </w:r>
          </w:p>
        </w:tc>
        <w:tc>
          <w:tcPr>
            <w:tcW w:w="5528" w:type="dxa"/>
            <w:tcBorders>
              <w:top w:val="single" w:sz="4" w:space="0" w:color="auto"/>
              <w:left w:val="single" w:sz="4" w:space="0" w:color="auto"/>
              <w:bottom w:val="single" w:sz="4" w:space="0" w:color="auto"/>
              <w:right w:val="single" w:sz="4" w:space="0" w:color="auto"/>
            </w:tcBorders>
          </w:tcPr>
          <w:p w14:paraId="1C673D98" w14:textId="77777777" w:rsidR="00F26E61" w:rsidRPr="00F97146" w:rsidRDefault="00F26E61" w:rsidP="00407A8E">
            <w:pPr>
              <w:spacing w:line="276" w:lineRule="auto"/>
              <w:ind w:left="25"/>
              <w:rPr>
                <w:b/>
                <w:iCs w:val="0"/>
                <w:sz w:val="18"/>
                <w:szCs w:val="14"/>
              </w:rPr>
            </w:pPr>
            <w:r w:rsidRPr="00F97146">
              <w:rPr>
                <w:b/>
                <w:iCs w:val="0"/>
                <w:sz w:val="18"/>
                <w:szCs w:val="14"/>
              </w:rPr>
              <w:t>Either:</w:t>
            </w:r>
          </w:p>
          <w:p w14:paraId="3FB2AB0A" w14:textId="77777777" w:rsidR="00F26E61" w:rsidRPr="00F97146" w:rsidRDefault="00F26E61" w:rsidP="00407A8E">
            <w:pPr>
              <w:spacing w:line="276" w:lineRule="auto"/>
              <w:ind w:left="25"/>
              <w:rPr>
                <w:bCs/>
                <w:iCs w:val="0"/>
                <w:sz w:val="18"/>
                <w:szCs w:val="14"/>
              </w:rPr>
            </w:pPr>
            <w:r w:rsidRPr="00F97146">
              <w:rPr>
                <w:bCs/>
                <w:iCs w:val="0"/>
                <w:sz w:val="18"/>
                <w:szCs w:val="14"/>
              </w:rPr>
              <w:t>Withdraw and/or rewrite MDCG 2020-6 so that it does not give the impression that WET devices can use clinical data on other devices in the generic device group as if it were equivalent data without having demonstrated equivalence.</w:t>
            </w:r>
          </w:p>
          <w:p w14:paraId="445868A9" w14:textId="77777777" w:rsidR="00F26E61" w:rsidRPr="00F97146" w:rsidRDefault="00F26E61" w:rsidP="00407A8E">
            <w:pPr>
              <w:spacing w:line="276" w:lineRule="auto"/>
              <w:ind w:left="25"/>
              <w:rPr>
                <w:bCs/>
                <w:iCs w:val="0"/>
                <w:sz w:val="18"/>
                <w:szCs w:val="14"/>
              </w:rPr>
            </w:pPr>
          </w:p>
          <w:p w14:paraId="0EB406EC" w14:textId="77777777" w:rsidR="00F26E61" w:rsidRPr="00F97146" w:rsidRDefault="00F26E61" w:rsidP="00407A8E">
            <w:pPr>
              <w:spacing w:line="276" w:lineRule="auto"/>
              <w:ind w:left="25"/>
              <w:rPr>
                <w:b/>
                <w:iCs w:val="0"/>
                <w:sz w:val="18"/>
                <w:szCs w:val="14"/>
              </w:rPr>
            </w:pPr>
            <w:r w:rsidRPr="00F97146">
              <w:rPr>
                <w:b/>
                <w:iCs w:val="0"/>
                <w:sz w:val="18"/>
                <w:szCs w:val="14"/>
              </w:rPr>
              <w:t>Or (not preferred</w:t>
            </w:r>
            <w:r>
              <w:rPr>
                <w:b/>
                <w:iCs w:val="0"/>
                <w:sz w:val="18"/>
                <w:szCs w:val="14"/>
              </w:rPr>
              <w:t>!</w:t>
            </w:r>
            <w:r w:rsidRPr="00F97146">
              <w:rPr>
                <w:b/>
                <w:iCs w:val="0"/>
                <w:sz w:val="18"/>
                <w:szCs w:val="14"/>
              </w:rPr>
              <w:t>):</w:t>
            </w:r>
          </w:p>
          <w:p w14:paraId="2B7A31F3" w14:textId="77777777" w:rsidR="00F26E61" w:rsidRPr="00F97146" w:rsidRDefault="00F26E61" w:rsidP="00407A8E">
            <w:pPr>
              <w:spacing w:line="276" w:lineRule="auto"/>
              <w:ind w:left="25"/>
              <w:rPr>
                <w:bCs/>
                <w:iCs w:val="0"/>
                <w:sz w:val="18"/>
                <w:szCs w:val="14"/>
              </w:rPr>
            </w:pPr>
            <w:r>
              <w:rPr>
                <w:iCs w:val="0"/>
                <w:sz w:val="18"/>
                <w:szCs w:val="14"/>
                <w:lang w:val="en-US"/>
              </w:rPr>
              <w:t>Add to</w:t>
            </w:r>
            <w:r w:rsidRPr="00F97146">
              <w:rPr>
                <w:bCs/>
                <w:iCs w:val="0"/>
                <w:sz w:val="18"/>
                <w:szCs w:val="14"/>
              </w:rPr>
              <w:t xml:space="preserve"> Annex XIV (3):</w:t>
            </w:r>
          </w:p>
          <w:p w14:paraId="09DB032F" w14:textId="77777777" w:rsidR="00F26E61" w:rsidRPr="00F97146" w:rsidRDefault="00F26E61" w:rsidP="00407A8E">
            <w:pPr>
              <w:spacing w:line="276" w:lineRule="auto"/>
              <w:ind w:left="25"/>
              <w:rPr>
                <w:iCs w:val="0"/>
                <w:sz w:val="18"/>
                <w:szCs w:val="14"/>
              </w:rPr>
            </w:pPr>
            <w:r w:rsidRPr="00F97146">
              <w:rPr>
                <w:bCs/>
                <w:iCs w:val="0"/>
                <w:sz w:val="18"/>
                <w:szCs w:val="14"/>
              </w:rPr>
              <w:t>“</w:t>
            </w:r>
            <w:r w:rsidRPr="00F97146">
              <w:rPr>
                <w:bCs/>
                <w:i/>
                <w:sz w:val="18"/>
                <w:szCs w:val="14"/>
              </w:rPr>
              <w:t>For devices that are well-established technology devices all members of the same generic device group can be assumed to have demonstrated equivalence to each other</w:t>
            </w:r>
            <w:r w:rsidRPr="00F97146">
              <w:rPr>
                <w:bCs/>
                <w:iCs w:val="0"/>
                <w:sz w:val="18"/>
                <w:szCs w:val="14"/>
              </w:rPr>
              <w:t>.”</w:t>
            </w:r>
          </w:p>
        </w:tc>
      </w:tr>
      <w:tr w:rsidR="00F26E61" w:rsidRPr="00F97146" w14:paraId="455EBC04" w14:textId="77777777" w:rsidTr="0022597C">
        <w:tc>
          <w:tcPr>
            <w:tcW w:w="568" w:type="dxa"/>
          </w:tcPr>
          <w:p w14:paraId="0AB133C5" w14:textId="77777777" w:rsidR="00F26E61" w:rsidRPr="00F97146" w:rsidRDefault="00F26E61" w:rsidP="00407A8E">
            <w:pPr>
              <w:spacing w:line="276" w:lineRule="auto"/>
              <w:ind w:left="-48" w:firstLine="6"/>
              <w:jc w:val="center"/>
              <w:rPr>
                <w:rFonts w:eastAsia="Segoe UI" w:cs="Segoe UI"/>
                <w:iCs w:val="0"/>
                <w:sz w:val="18"/>
                <w:szCs w:val="14"/>
              </w:rPr>
            </w:pPr>
            <w:r w:rsidRPr="00F97146">
              <w:rPr>
                <w:rFonts w:eastAsia="Segoe UI" w:cs="Segoe UI"/>
                <w:iCs w:val="0"/>
                <w:sz w:val="18"/>
                <w:szCs w:val="14"/>
              </w:rPr>
              <w:t>4</w:t>
            </w:r>
          </w:p>
        </w:tc>
        <w:tc>
          <w:tcPr>
            <w:tcW w:w="1134" w:type="dxa"/>
            <w:tcBorders>
              <w:top w:val="single" w:sz="4" w:space="0" w:color="auto"/>
              <w:left w:val="single" w:sz="4" w:space="0" w:color="auto"/>
              <w:bottom w:val="single" w:sz="4" w:space="0" w:color="auto"/>
              <w:right w:val="single" w:sz="4" w:space="0" w:color="auto"/>
            </w:tcBorders>
          </w:tcPr>
          <w:p w14:paraId="4B1BBB79" w14:textId="77777777" w:rsidR="00F26E61" w:rsidRPr="00F97146" w:rsidRDefault="00F26E61" w:rsidP="00407A8E">
            <w:pPr>
              <w:spacing w:line="276" w:lineRule="auto"/>
              <w:ind w:left="-48" w:firstLine="6"/>
              <w:jc w:val="center"/>
              <w:rPr>
                <w:rFonts w:eastAsia="Segoe UI" w:cs="Segoe UI"/>
                <w:iCs w:val="0"/>
                <w:sz w:val="18"/>
                <w:szCs w:val="14"/>
              </w:rPr>
            </w:pPr>
            <w:r w:rsidRPr="00F97146">
              <w:rPr>
                <w:rFonts w:eastAsia="Segoe UI" w:cs="Segoe UI"/>
                <w:iCs w:val="0"/>
                <w:sz w:val="18"/>
                <w:szCs w:val="14"/>
              </w:rPr>
              <w:t>36</w:t>
            </w:r>
          </w:p>
        </w:tc>
        <w:tc>
          <w:tcPr>
            <w:tcW w:w="1114" w:type="dxa"/>
            <w:tcBorders>
              <w:top w:val="single" w:sz="4" w:space="0" w:color="auto"/>
              <w:left w:val="single" w:sz="4" w:space="0" w:color="auto"/>
              <w:bottom w:val="single" w:sz="4" w:space="0" w:color="auto"/>
              <w:right w:val="single" w:sz="4" w:space="0" w:color="auto"/>
            </w:tcBorders>
          </w:tcPr>
          <w:p w14:paraId="01F3DF90" w14:textId="77777777" w:rsidR="00F26E61" w:rsidRPr="00F97146" w:rsidRDefault="00F26E61" w:rsidP="00407A8E">
            <w:pPr>
              <w:spacing w:line="276" w:lineRule="auto"/>
              <w:ind w:left="75"/>
              <w:jc w:val="center"/>
              <w:rPr>
                <w:rFonts w:eastAsia="Segoe UI" w:cs="Segoe UI"/>
                <w:iCs w:val="0"/>
                <w:sz w:val="18"/>
                <w:szCs w:val="14"/>
              </w:rPr>
            </w:pPr>
            <w:r w:rsidRPr="00F97146">
              <w:rPr>
                <w:rFonts w:eastAsia="Segoe UI" w:cs="Segoe UI"/>
                <w:iCs w:val="0"/>
                <w:sz w:val="18"/>
                <w:szCs w:val="14"/>
              </w:rPr>
              <w:t>1</w:t>
            </w:r>
          </w:p>
        </w:tc>
        <w:tc>
          <w:tcPr>
            <w:tcW w:w="1134" w:type="dxa"/>
            <w:tcBorders>
              <w:top w:val="single" w:sz="4" w:space="0" w:color="auto"/>
              <w:left w:val="single" w:sz="4" w:space="0" w:color="auto"/>
              <w:bottom w:val="single" w:sz="4" w:space="0" w:color="auto"/>
              <w:right w:val="single" w:sz="4" w:space="0" w:color="auto"/>
            </w:tcBorders>
          </w:tcPr>
          <w:p w14:paraId="03D4392F" w14:textId="77777777" w:rsidR="00F26E61" w:rsidRPr="00F97146" w:rsidRDefault="00F26E61" w:rsidP="00407A8E">
            <w:pPr>
              <w:spacing w:line="276" w:lineRule="auto"/>
              <w:jc w:val="center"/>
              <w:rPr>
                <w:rFonts w:eastAsia="Segoe UI" w:cs="Segoe UI"/>
                <w:iCs w:val="0"/>
                <w:sz w:val="18"/>
                <w:szCs w:val="14"/>
              </w:rPr>
            </w:pPr>
            <w:r w:rsidRPr="00F97146">
              <w:rPr>
                <w:rFonts w:eastAsia="Segoe UI" w:cs="Segoe UI"/>
                <w:iCs w:val="0"/>
                <w:sz w:val="18"/>
                <w:szCs w:val="14"/>
              </w:rPr>
              <w:t>2</w:t>
            </w:r>
          </w:p>
        </w:tc>
        <w:tc>
          <w:tcPr>
            <w:tcW w:w="1134" w:type="dxa"/>
            <w:tcBorders>
              <w:top w:val="single" w:sz="4" w:space="0" w:color="auto"/>
              <w:left w:val="single" w:sz="4" w:space="0" w:color="auto"/>
              <w:bottom w:val="single" w:sz="4" w:space="0" w:color="auto"/>
              <w:right w:val="single" w:sz="4" w:space="0" w:color="auto"/>
            </w:tcBorders>
          </w:tcPr>
          <w:p w14:paraId="7FA27772" w14:textId="77777777" w:rsidR="00F26E61" w:rsidRPr="00F97146" w:rsidRDefault="00F26E61" w:rsidP="00407A8E">
            <w:pPr>
              <w:spacing w:line="276" w:lineRule="auto"/>
              <w:ind w:left="14"/>
              <w:jc w:val="center"/>
              <w:rPr>
                <w:bCs/>
                <w:iCs w:val="0"/>
                <w:sz w:val="18"/>
                <w:szCs w:val="14"/>
              </w:rPr>
            </w:pPr>
            <w:r w:rsidRPr="00F97146">
              <w:rPr>
                <w:bCs/>
                <w:iCs w:val="0"/>
                <w:sz w:val="18"/>
                <w:szCs w:val="14"/>
              </w:rPr>
              <w:t>e(72)</w:t>
            </w:r>
          </w:p>
        </w:tc>
        <w:tc>
          <w:tcPr>
            <w:tcW w:w="4840" w:type="dxa"/>
            <w:tcBorders>
              <w:top w:val="single" w:sz="4" w:space="0" w:color="auto"/>
              <w:left w:val="single" w:sz="4" w:space="0" w:color="auto"/>
              <w:bottom w:val="single" w:sz="4" w:space="0" w:color="auto"/>
              <w:right w:val="single" w:sz="4" w:space="0" w:color="auto"/>
            </w:tcBorders>
          </w:tcPr>
          <w:p w14:paraId="16CD4A2A" w14:textId="77777777" w:rsidR="00F26E61" w:rsidRPr="00F97146" w:rsidRDefault="00F26E61" w:rsidP="00407A8E">
            <w:pPr>
              <w:rPr>
                <w:rFonts w:eastAsia="Segoe UI" w:cs="Segoe UI"/>
                <w:iCs w:val="0"/>
                <w:sz w:val="18"/>
                <w:szCs w:val="14"/>
                <w:lang w:val="en-US"/>
              </w:rPr>
            </w:pPr>
            <w:r w:rsidRPr="00F97146">
              <w:rPr>
                <w:rFonts w:eastAsia="Segoe UI" w:cs="Segoe UI"/>
                <w:iCs w:val="0"/>
                <w:sz w:val="18"/>
                <w:szCs w:val="14"/>
                <w:lang w:val="en-US"/>
              </w:rPr>
              <w:t>The current definition is too vague. It is currently in use via the MDCG guidance and experience shows that attempts to apply it in very wide circumstances have been made. For example, a software product that is 18 months old: to the manufacturer this is simple and old software. The current definition is too difficult to benchmark. This leads to decrease in predictability because a manufacturer may believe they have a WET device until the late stage of conformity assessment, and the late revelation of non-</w:t>
            </w:r>
            <w:r w:rsidRPr="00F97146">
              <w:rPr>
                <w:rFonts w:eastAsia="Segoe UI" w:cs="Segoe UI"/>
                <w:iCs w:val="0"/>
                <w:sz w:val="18"/>
                <w:szCs w:val="14"/>
                <w:lang w:val="en-US"/>
              </w:rPr>
              <w:lastRenderedPageBreak/>
              <w:t xml:space="preserve">applicability can cause significant delay, for example, because new clinical data must be generated. </w:t>
            </w:r>
          </w:p>
          <w:p w14:paraId="5CA2FE41" w14:textId="77777777" w:rsidR="00F26E61" w:rsidRPr="00F97146" w:rsidRDefault="00F26E61" w:rsidP="00407A8E">
            <w:pPr>
              <w:rPr>
                <w:rFonts w:eastAsia="Segoe UI" w:cs="Segoe UI"/>
                <w:iCs w:val="0"/>
                <w:sz w:val="18"/>
                <w:szCs w:val="14"/>
                <w:lang w:val="en-US"/>
              </w:rPr>
            </w:pPr>
          </w:p>
          <w:p w14:paraId="7400EB03" w14:textId="77777777" w:rsidR="00F26E61" w:rsidRPr="00F97146" w:rsidRDefault="00F26E61" w:rsidP="00407A8E">
            <w:pPr>
              <w:rPr>
                <w:rFonts w:eastAsia="Segoe UI" w:cs="Segoe UI"/>
                <w:iCs w:val="0"/>
                <w:sz w:val="18"/>
                <w:szCs w:val="14"/>
                <w:lang w:val="en-US"/>
              </w:rPr>
            </w:pPr>
            <w:r w:rsidRPr="00F97146">
              <w:rPr>
                <w:rFonts w:eastAsia="Segoe UI" w:cs="Segoe UI"/>
                <w:iCs w:val="0"/>
                <w:sz w:val="18"/>
                <w:szCs w:val="14"/>
                <w:lang w:val="en-US"/>
              </w:rPr>
              <w:t xml:space="preserve">The definition should be refined to give a clear indication of how long on the market, how simple, etc., meets the threshold. We note that Ann VIII (5.4), rule 8, retains the words screws, wedges, plates and instruments. We think this is a good benchmark that should extend to the definition. </w:t>
            </w:r>
          </w:p>
          <w:p w14:paraId="6244C567" w14:textId="77777777" w:rsidR="00F26E61" w:rsidRPr="00F97146" w:rsidRDefault="00F26E61" w:rsidP="00407A8E">
            <w:pPr>
              <w:rPr>
                <w:rFonts w:eastAsia="Segoe UI" w:cs="Segoe UI"/>
                <w:iCs w:val="0"/>
                <w:sz w:val="18"/>
                <w:szCs w:val="14"/>
                <w:lang w:val="en-US"/>
              </w:rPr>
            </w:pPr>
            <w:r w:rsidRPr="00F97146">
              <w:rPr>
                <w:rFonts w:eastAsia="Segoe UI" w:cs="Segoe UI"/>
                <w:iCs w:val="0"/>
                <w:sz w:val="18"/>
                <w:szCs w:val="14"/>
                <w:lang w:val="en-US"/>
              </w:rPr>
              <w:t xml:space="preserve">The proposed definition includes reference to generic device group, which definition we think should also be further refined as a part of this. </w:t>
            </w:r>
          </w:p>
        </w:tc>
        <w:tc>
          <w:tcPr>
            <w:tcW w:w="5528" w:type="dxa"/>
            <w:tcBorders>
              <w:top w:val="single" w:sz="4" w:space="0" w:color="auto"/>
              <w:left w:val="single" w:sz="4" w:space="0" w:color="auto"/>
              <w:bottom w:val="single" w:sz="4" w:space="0" w:color="auto"/>
              <w:right w:val="single" w:sz="4" w:space="0" w:color="auto"/>
            </w:tcBorders>
          </w:tcPr>
          <w:p w14:paraId="0355EF3E" w14:textId="77777777" w:rsidR="00F26E61" w:rsidRPr="00F97146" w:rsidRDefault="00F26E61" w:rsidP="00407A8E">
            <w:pPr>
              <w:tabs>
                <w:tab w:val="left" w:pos="3785"/>
              </w:tabs>
              <w:ind w:right="950"/>
              <w:rPr>
                <w:rFonts w:eastAsia="Segoe UI" w:cs="Segoe UI"/>
                <w:iCs w:val="0"/>
                <w:sz w:val="18"/>
                <w:szCs w:val="14"/>
              </w:rPr>
            </w:pPr>
            <w:r w:rsidRPr="00F97146">
              <w:rPr>
                <w:rFonts w:eastAsia="Segoe UI" w:cs="Segoe UI"/>
                <w:iCs w:val="0"/>
                <w:sz w:val="18"/>
                <w:szCs w:val="14"/>
              </w:rPr>
              <w:lastRenderedPageBreak/>
              <w:t xml:space="preserve">Team NB </w:t>
            </w:r>
            <w:r>
              <w:rPr>
                <w:rFonts w:eastAsia="Segoe UI" w:cs="Segoe UI"/>
                <w:iCs w:val="0"/>
                <w:sz w:val="18"/>
                <w:szCs w:val="14"/>
              </w:rPr>
              <w:t>suggestions for improvement of the</w:t>
            </w:r>
            <w:r w:rsidRPr="00F97146">
              <w:rPr>
                <w:rFonts w:eastAsia="Segoe UI" w:cs="Segoe UI"/>
                <w:iCs w:val="0"/>
                <w:sz w:val="18"/>
                <w:szCs w:val="14"/>
              </w:rPr>
              <w:t xml:space="preserve"> text: </w:t>
            </w:r>
          </w:p>
          <w:p w14:paraId="12C7C371" w14:textId="77777777" w:rsidR="00F26E61" w:rsidRPr="00F97146" w:rsidRDefault="00F26E61" w:rsidP="00407A8E">
            <w:pPr>
              <w:tabs>
                <w:tab w:val="left" w:pos="3785"/>
              </w:tabs>
              <w:ind w:right="950"/>
              <w:rPr>
                <w:rFonts w:eastAsia="Segoe UI" w:cs="Segoe UI"/>
                <w:i/>
                <w:sz w:val="18"/>
                <w:szCs w:val="14"/>
              </w:rPr>
            </w:pPr>
            <w:r w:rsidRPr="00F97146">
              <w:rPr>
                <w:rFonts w:eastAsia="Segoe UI" w:cs="Segoe UI"/>
                <w:i/>
                <w:sz w:val="18"/>
                <w:szCs w:val="14"/>
              </w:rPr>
              <w:t xml:space="preserve">“‘well-established technology device’ means a device that belongs to a generic device group. The group fulfils all the following criteria:  </w:t>
            </w:r>
          </w:p>
          <w:p w14:paraId="14A17615" w14:textId="77777777" w:rsidR="00F26E61" w:rsidRPr="00F97146" w:rsidRDefault="00F26E61" w:rsidP="00F26E61">
            <w:pPr>
              <w:pStyle w:val="Paragraphedeliste"/>
              <w:numPr>
                <w:ilvl w:val="0"/>
                <w:numId w:val="99"/>
              </w:numPr>
              <w:tabs>
                <w:tab w:val="left" w:pos="3785"/>
              </w:tabs>
              <w:spacing w:after="0"/>
              <w:ind w:right="950"/>
              <w:rPr>
                <w:rFonts w:eastAsia="Segoe UI" w:cs="Segoe UI"/>
                <w:i/>
                <w:sz w:val="18"/>
                <w:szCs w:val="14"/>
              </w:rPr>
            </w:pPr>
            <w:r w:rsidRPr="00F97146">
              <w:rPr>
                <w:rFonts w:eastAsia="Segoe UI" w:cs="Segoe UI"/>
                <w:i/>
                <w:sz w:val="18"/>
                <w:szCs w:val="14"/>
              </w:rPr>
              <w:t xml:space="preserve">it has simple, common and stable design supported by common specifications or harmonised standards;   </w:t>
            </w:r>
          </w:p>
          <w:p w14:paraId="113BC7AB" w14:textId="77777777" w:rsidR="00F26E61" w:rsidRPr="00F97146" w:rsidRDefault="00F26E61" w:rsidP="00F26E61">
            <w:pPr>
              <w:pStyle w:val="Paragraphedeliste"/>
              <w:numPr>
                <w:ilvl w:val="0"/>
                <w:numId w:val="99"/>
              </w:numPr>
              <w:tabs>
                <w:tab w:val="left" w:pos="3785"/>
              </w:tabs>
              <w:spacing w:after="0"/>
              <w:ind w:right="950"/>
              <w:rPr>
                <w:rFonts w:eastAsia="Segoe UI" w:cs="Segoe UI"/>
                <w:i/>
                <w:sz w:val="18"/>
                <w:szCs w:val="14"/>
              </w:rPr>
            </w:pPr>
            <w:r w:rsidRPr="00F97146">
              <w:rPr>
                <w:rFonts w:eastAsia="Segoe UI" w:cs="Segoe UI"/>
                <w:i/>
                <w:sz w:val="18"/>
                <w:szCs w:val="14"/>
              </w:rPr>
              <w:lastRenderedPageBreak/>
              <w:t xml:space="preserve">it has not been associated with safety issues in the past and there is good scientific justification that safety issues are unlikely to arise in future;  </w:t>
            </w:r>
          </w:p>
          <w:p w14:paraId="3D679BE6" w14:textId="77777777" w:rsidR="00F26E61" w:rsidRPr="00F97146" w:rsidRDefault="00F26E61" w:rsidP="00F26E61">
            <w:pPr>
              <w:pStyle w:val="Paragraphedeliste"/>
              <w:numPr>
                <w:ilvl w:val="0"/>
                <w:numId w:val="99"/>
              </w:numPr>
              <w:tabs>
                <w:tab w:val="left" w:pos="3785"/>
              </w:tabs>
              <w:spacing w:after="0"/>
              <w:ind w:right="950"/>
              <w:rPr>
                <w:rFonts w:eastAsia="Segoe UI" w:cs="Segoe UI"/>
                <w:i/>
                <w:sz w:val="18"/>
                <w:szCs w:val="14"/>
              </w:rPr>
            </w:pPr>
            <w:r w:rsidRPr="00F97146">
              <w:rPr>
                <w:rFonts w:eastAsia="Segoe UI" w:cs="Segoe UI"/>
                <w:i/>
                <w:sz w:val="18"/>
                <w:szCs w:val="14"/>
              </w:rPr>
              <w:t xml:space="preserve">it has well-known clinical performance characteristics and comprises standard of care devices with little evolution in indications and the state of the art;  </w:t>
            </w:r>
          </w:p>
          <w:p w14:paraId="4AD4A9E9" w14:textId="77777777" w:rsidR="00F26E61" w:rsidRPr="00F97146" w:rsidRDefault="00F26E61" w:rsidP="00F26E61">
            <w:pPr>
              <w:pStyle w:val="Paragraphedeliste"/>
              <w:numPr>
                <w:ilvl w:val="0"/>
                <w:numId w:val="99"/>
              </w:numPr>
              <w:tabs>
                <w:tab w:val="left" w:pos="3785"/>
              </w:tabs>
              <w:spacing w:after="0"/>
              <w:ind w:right="950"/>
              <w:rPr>
                <w:rFonts w:eastAsia="Segoe UI" w:cs="Segoe UI"/>
                <w:i/>
                <w:sz w:val="18"/>
                <w:szCs w:val="14"/>
              </w:rPr>
            </w:pPr>
            <w:r w:rsidRPr="00F97146">
              <w:rPr>
                <w:rFonts w:eastAsia="Segoe UI" w:cs="Segoe UI"/>
                <w:i/>
                <w:sz w:val="18"/>
                <w:szCs w:val="14"/>
              </w:rPr>
              <w:t xml:space="preserve">it has a similarly long history on the Union market as screws, wedges, plates and instruments </w:t>
            </w:r>
          </w:p>
          <w:p w14:paraId="5B8723F0" w14:textId="77777777" w:rsidR="00F26E61" w:rsidRPr="00F97146" w:rsidRDefault="00F26E61" w:rsidP="00F26E61">
            <w:pPr>
              <w:pStyle w:val="Paragraphedeliste"/>
              <w:numPr>
                <w:ilvl w:val="0"/>
                <w:numId w:val="99"/>
              </w:numPr>
              <w:tabs>
                <w:tab w:val="left" w:pos="3785"/>
              </w:tabs>
              <w:spacing w:after="0"/>
              <w:ind w:right="950"/>
              <w:rPr>
                <w:rFonts w:eastAsia="Segoe UI" w:cs="Segoe UI"/>
                <w:i/>
                <w:sz w:val="18"/>
                <w:szCs w:val="14"/>
              </w:rPr>
            </w:pPr>
            <w:r w:rsidRPr="00F97146">
              <w:rPr>
                <w:rFonts w:eastAsia="Segoe UI" w:cs="Segoe UI"/>
                <w:i/>
                <w:sz w:val="18"/>
                <w:szCs w:val="14"/>
              </w:rPr>
              <w:t>it is not an active device</w:t>
            </w:r>
          </w:p>
          <w:p w14:paraId="6A7A9549" w14:textId="77777777" w:rsidR="00F26E61" w:rsidRPr="00F97146" w:rsidRDefault="00F26E61" w:rsidP="00F26E61">
            <w:pPr>
              <w:pStyle w:val="Paragraphedeliste"/>
              <w:numPr>
                <w:ilvl w:val="0"/>
                <w:numId w:val="99"/>
              </w:numPr>
              <w:tabs>
                <w:tab w:val="left" w:pos="3785"/>
              </w:tabs>
              <w:spacing w:after="0"/>
              <w:ind w:right="950"/>
              <w:rPr>
                <w:rFonts w:eastAsia="Segoe UI" w:cs="Segoe UI"/>
                <w:i/>
                <w:sz w:val="18"/>
                <w:szCs w:val="14"/>
              </w:rPr>
            </w:pPr>
            <w:r w:rsidRPr="00F97146">
              <w:rPr>
                <w:rFonts w:eastAsia="Segoe UI" w:cs="Segoe UI"/>
                <w:i/>
                <w:sz w:val="18"/>
                <w:szCs w:val="14"/>
              </w:rPr>
              <w:t xml:space="preserve">there is no requirement for any special </w:t>
            </w:r>
            <w:r>
              <w:rPr>
                <w:rFonts w:eastAsia="Segoe UI" w:cs="Segoe UI"/>
                <w:i/>
                <w:sz w:val="18"/>
                <w:szCs w:val="14"/>
              </w:rPr>
              <w:t xml:space="preserve">consultation or other relevant </w:t>
            </w:r>
            <w:r w:rsidRPr="00F97146">
              <w:rPr>
                <w:rFonts w:eastAsia="Segoe UI" w:cs="Segoe UI"/>
                <w:i/>
                <w:sz w:val="18"/>
                <w:szCs w:val="14"/>
              </w:rPr>
              <w:t>procedure</w:t>
            </w:r>
          </w:p>
          <w:p w14:paraId="7BBE0F52" w14:textId="77777777" w:rsidR="00F26E61" w:rsidRPr="00F97146" w:rsidRDefault="00F26E61" w:rsidP="00F26E61">
            <w:pPr>
              <w:pStyle w:val="Paragraphedeliste"/>
              <w:numPr>
                <w:ilvl w:val="0"/>
                <w:numId w:val="99"/>
              </w:numPr>
              <w:tabs>
                <w:tab w:val="left" w:pos="3785"/>
              </w:tabs>
              <w:spacing w:after="0"/>
              <w:ind w:right="950"/>
              <w:rPr>
                <w:rFonts w:eastAsia="Segoe UI" w:cs="Segoe UI"/>
                <w:iCs w:val="0"/>
                <w:sz w:val="18"/>
                <w:szCs w:val="14"/>
              </w:rPr>
            </w:pPr>
            <w:r w:rsidRPr="00F97146">
              <w:rPr>
                <w:rFonts w:eastAsia="Segoe UI" w:cs="Segoe UI"/>
                <w:i/>
                <w:sz w:val="18"/>
                <w:szCs w:val="14"/>
              </w:rPr>
              <w:t>it is not a class III device, other than those devices explicitly listed in ...”</w:t>
            </w:r>
          </w:p>
        </w:tc>
      </w:tr>
      <w:tr w:rsidR="00F26E61" w:rsidRPr="00F97146" w14:paraId="36273E6B" w14:textId="77777777" w:rsidTr="0022597C">
        <w:tc>
          <w:tcPr>
            <w:tcW w:w="568" w:type="dxa"/>
          </w:tcPr>
          <w:p w14:paraId="5E5FCFC6" w14:textId="77777777" w:rsidR="00F26E61" w:rsidRPr="00F97146" w:rsidRDefault="00F26E61" w:rsidP="00407A8E">
            <w:pPr>
              <w:spacing w:line="276" w:lineRule="auto"/>
              <w:ind w:left="-48" w:firstLine="6"/>
              <w:jc w:val="center"/>
              <w:rPr>
                <w:rFonts w:eastAsia="Segoe UI" w:cs="Segoe UI"/>
                <w:iCs w:val="0"/>
                <w:sz w:val="18"/>
                <w:szCs w:val="14"/>
              </w:rPr>
            </w:pPr>
            <w:r w:rsidRPr="00F97146">
              <w:rPr>
                <w:rFonts w:eastAsia="Segoe UI" w:cs="Segoe UI"/>
                <w:iCs w:val="0"/>
                <w:sz w:val="18"/>
                <w:szCs w:val="14"/>
              </w:rPr>
              <w:lastRenderedPageBreak/>
              <w:t>5</w:t>
            </w:r>
          </w:p>
        </w:tc>
        <w:tc>
          <w:tcPr>
            <w:tcW w:w="1134" w:type="dxa"/>
            <w:tcBorders>
              <w:top w:val="single" w:sz="4" w:space="0" w:color="auto"/>
              <w:left w:val="single" w:sz="4" w:space="0" w:color="auto"/>
              <w:bottom w:val="single" w:sz="4" w:space="0" w:color="auto"/>
              <w:right w:val="single" w:sz="4" w:space="0" w:color="auto"/>
            </w:tcBorders>
          </w:tcPr>
          <w:p w14:paraId="1CB2D578" w14:textId="77777777" w:rsidR="00F26E61" w:rsidRPr="00F97146" w:rsidDel="002940E1" w:rsidRDefault="00F26E61" w:rsidP="00407A8E">
            <w:pPr>
              <w:spacing w:line="276" w:lineRule="auto"/>
              <w:ind w:left="-48" w:firstLine="6"/>
              <w:jc w:val="center"/>
              <w:rPr>
                <w:bCs/>
                <w:iCs w:val="0"/>
                <w:sz w:val="18"/>
                <w:szCs w:val="14"/>
              </w:rPr>
            </w:pPr>
            <w:r w:rsidRPr="00F97146">
              <w:rPr>
                <w:rFonts w:eastAsia="Segoe UI" w:cs="Segoe UI"/>
                <w:iCs w:val="0"/>
                <w:sz w:val="18"/>
                <w:szCs w:val="14"/>
              </w:rPr>
              <w:t>36</w:t>
            </w:r>
          </w:p>
        </w:tc>
        <w:tc>
          <w:tcPr>
            <w:tcW w:w="1114" w:type="dxa"/>
            <w:tcBorders>
              <w:top w:val="single" w:sz="4" w:space="0" w:color="auto"/>
              <w:left w:val="single" w:sz="4" w:space="0" w:color="auto"/>
              <w:bottom w:val="single" w:sz="4" w:space="0" w:color="auto"/>
              <w:right w:val="single" w:sz="4" w:space="0" w:color="auto"/>
            </w:tcBorders>
          </w:tcPr>
          <w:p w14:paraId="13B41DB6" w14:textId="77777777" w:rsidR="00F26E61" w:rsidRPr="00F97146" w:rsidRDefault="00F26E61" w:rsidP="00407A8E">
            <w:pPr>
              <w:spacing w:line="276" w:lineRule="auto"/>
              <w:ind w:left="75"/>
              <w:jc w:val="center"/>
              <w:rPr>
                <w:bCs/>
                <w:iCs w:val="0"/>
                <w:sz w:val="18"/>
                <w:szCs w:val="14"/>
              </w:rPr>
            </w:pPr>
            <w:r w:rsidRPr="00F97146">
              <w:rPr>
                <w:rFonts w:eastAsia="Segoe UI" w:cs="Segoe UI"/>
                <w:iCs w:val="0"/>
                <w:sz w:val="18"/>
                <w:szCs w:val="14"/>
              </w:rPr>
              <w:t>1</w:t>
            </w:r>
          </w:p>
        </w:tc>
        <w:tc>
          <w:tcPr>
            <w:tcW w:w="1134" w:type="dxa"/>
            <w:tcBorders>
              <w:top w:val="single" w:sz="4" w:space="0" w:color="auto"/>
              <w:left w:val="single" w:sz="4" w:space="0" w:color="auto"/>
              <w:bottom w:val="single" w:sz="4" w:space="0" w:color="auto"/>
              <w:right w:val="single" w:sz="4" w:space="0" w:color="auto"/>
            </w:tcBorders>
          </w:tcPr>
          <w:p w14:paraId="7FE47CAC" w14:textId="77777777" w:rsidR="00F26E61" w:rsidRPr="00F97146" w:rsidRDefault="00F26E61" w:rsidP="00407A8E">
            <w:pPr>
              <w:spacing w:line="276" w:lineRule="auto"/>
              <w:jc w:val="center"/>
              <w:rPr>
                <w:bCs/>
                <w:iCs w:val="0"/>
                <w:sz w:val="18"/>
                <w:szCs w:val="14"/>
              </w:rPr>
            </w:pPr>
            <w:r w:rsidRPr="00F97146">
              <w:rPr>
                <w:rFonts w:eastAsia="Segoe UI" w:cs="Segoe UI"/>
                <w:iCs w:val="0"/>
                <w:sz w:val="18"/>
                <w:szCs w:val="14"/>
              </w:rPr>
              <w:t>2</w:t>
            </w:r>
          </w:p>
        </w:tc>
        <w:tc>
          <w:tcPr>
            <w:tcW w:w="1134" w:type="dxa"/>
            <w:tcBorders>
              <w:top w:val="single" w:sz="4" w:space="0" w:color="auto"/>
              <w:left w:val="single" w:sz="4" w:space="0" w:color="auto"/>
              <w:bottom w:val="single" w:sz="4" w:space="0" w:color="auto"/>
              <w:right w:val="single" w:sz="4" w:space="0" w:color="auto"/>
            </w:tcBorders>
          </w:tcPr>
          <w:p w14:paraId="7B8FBD1B" w14:textId="77777777" w:rsidR="00F26E61" w:rsidRPr="00F97146" w:rsidDel="00483E69" w:rsidRDefault="00F26E61" w:rsidP="00407A8E">
            <w:pPr>
              <w:spacing w:line="276" w:lineRule="auto"/>
              <w:ind w:left="14"/>
              <w:jc w:val="center"/>
              <w:rPr>
                <w:bCs/>
                <w:iCs w:val="0"/>
                <w:sz w:val="18"/>
                <w:szCs w:val="14"/>
              </w:rPr>
            </w:pPr>
            <w:r w:rsidRPr="00F97146">
              <w:rPr>
                <w:bCs/>
                <w:iCs w:val="0"/>
                <w:sz w:val="18"/>
                <w:szCs w:val="14"/>
              </w:rPr>
              <w:t>e(72)</w:t>
            </w:r>
          </w:p>
        </w:tc>
        <w:tc>
          <w:tcPr>
            <w:tcW w:w="4840" w:type="dxa"/>
            <w:tcBorders>
              <w:top w:val="single" w:sz="4" w:space="0" w:color="auto"/>
              <w:left w:val="single" w:sz="4" w:space="0" w:color="auto"/>
              <w:bottom w:val="single" w:sz="4" w:space="0" w:color="auto"/>
              <w:right w:val="single" w:sz="4" w:space="0" w:color="auto"/>
            </w:tcBorders>
          </w:tcPr>
          <w:p w14:paraId="5456A0EE" w14:textId="77777777" w:rsidR="00F26E61" w:rsidRPr="00F97146" w:rsidRDefault="00F26E61" w:rsidP="00407A8E">
            <w:pPr>
              <w:rPr>
                <w:rFonts w:eastAsia="Segoe UI" w:cs="Segoe UI"/>
                <w:iCs w:val="0"/>
                <w:sz w:val="18"/>
                <w:szCs w:val="14"/>
                <w:lang w:val="en-US"/>
              </w:rPr>
            </w:pPr>
            <w:r w:rsidRPr="00F97146">
              <w:rPr>
                <w:rFonts w:eastAsia="Segoe UI" w:cs="Segoe UI"/>
                <w:iCs w:val="0"/>
                <w:sz w:val="18"/>
                <w:szCs w:val="14"/>
                <w:lang w:val="en-US"/>
              </w:rPr>
              <w:t xml:space="preserve">The definition (72) of WET is ambiguous. It is left to the interpretation of manufacturers and notified bodies to determine where exactly the boundaries of the a-d in the definition. </w:t>
            </w:r>
          </w:p>
          <w:p w14:paraId="1A68A880" w14:textId="77777777" w:rsidR="00F26E61" w:rsidRPr="00F97146" w:rsidRDefault="00F26E61" w:rsidP="00407A8E">
            <w:pPr>
              <w:rPr>
                <w:rFonts w:eastAsia="Segoe UI" w:cs="Segoe UI"/>
                <w:iCs w:val="0"/>
                <w:sz w:val="18"/>
                <w:szCs w:val="14"/>
                <w:lang w:val="en-US"/>
              </w:rPr>
            </w:pPr>
          </w:p>
          <w:p w14:paraId="3C14E867" w14:textId="77777777" w:rsidR="00F26E61" w:rsidRPr="00F97146" w:rsidRDefault="00F26E61" w:rsidP="00407A8E">
            <w:pPr>
              <w:rPr>
                <w:rFonts w:eastAsia="Segoe UI" w:cs="Segoe UI"/>
                <w:iCs w:val="0"/>
                <w:sz w:val="18"/>
                <w:szCs w:val="14"/>
                <w:lang w:val="en-US"/>
              </w:rPr>
            </w:pPr>
            <w:r w:rsidRPr="00F97146">
              <w:rPr>
                <w:rFonts w:eastAsia="Segoe UI" w:cs="Segoe UI"/>
                <w:iCs w:val="0"/>
                <w:sz w:val="18"/>
                <w:szCs w:val="14"/>
                <w:lang w:val="en-US"/>
              </w:rPr>
              <w:t>Additionally, the “generic device group” definition does not concern a specific product, but rather a large number of products that a manufacturer may not even produce itself, but for which it must provide the relevant evidence. Many manufacturers will not be able to meet this requirement, and the lack of clear guidelines will lead to inconsistent implementation by the notified bodies.</w:t>
            </w:r>
          </w:p>
          <w:p w14:paraId="09249036" w14:textId="77777777" w:rsidR="00F26E61" w:rsidRPr="00F97146" w:rsidRDefault="00F26E61" w:rsidP="00407A8E">
            <w:pPr>
              <w:spacing w:before="60"/>
              <w:rPr>
                <w:rFonts w:eastAsia="Segoe UI" w:cs="Segoe UI"/>
                <w:iCs w:val="0"/>
                <w:sz w:val="18"/>
                <w:szCs w:val="14"/>
                <w:lang w:val="en-US"/>
              </w:rPr>
            </w:pPr>
          </w:p>
          <w:p w14:paraId="5ABD2475" w14:textId="77777777" w:rsidR="00F26E61" w:rsidRPr="00F97146" w:rsidRDefault="00F26E61" w:rsidP="00407A8E">
            <w:pPr>
              <w:spacing w:line="276" w:lineRule="auto"/>
              <w:ind w:left="39"/>
              <w:rPr>
                <w:iCs w:val="0"/>
                <w:sz w:val="18"/>
                <w:szCs w:val="14"/>
              </w:rPr>
            </w:pPr>
            <w:r w:rsidRPr="00F97146">
              <w:rPr>
                <w:rFonts w:eastAsia="Segoe UI" w:cs="Segoe UI"/>
                <w:iCs w:val="0"/>
                <w:sz w:val="18"/>
                <w:szCs w:val="14"/>
                <w:lang w:val="en-US"/>
              </w:rPr>
              <w:t xml:space="preserve">We consider it very risky in terms of patient safety to allow class III devices to benefit from reduced monitoring requirements. A lot of products that have caused problems </w:t>
            </w:r>
            <w:r w:rsidRPr="00F97146">
              <w:rPr>
                <w:rFonts w:eastAsia="Segoe UI" w:cs="Segoe UI"/>
                <w:iCs w:val="0"/>
                <w:sz w:val="18"/>
                <w:szCs w:val="14"/>
                <w:lang w:val="en-US"/>
              </w:rPr>
              <w:lastRenderedPageBreak/>
              <w:t>in the past would have met these requirements for classification as WET. The simplifications</w:t>
            </w:r>
            <w:r w:rsidRPr="00F97146">
              <w:rPr>
                <w:rFonts w:cs="Segoe UI"/>
                <w:iCs w:val="0"/>
                <w:sz w:val="18"/>
                <w:szCs w:val="14"/>
                <w:lang w:val="en-US"/>
              </w:rPr>
              <w:t xml:space="preserve"> </w:t>
            </w:r>
            <w:r w:rsidRPr="00F97146">
              <w:rPr>
                <w:rFonts w:eastAsia="Segoe UI" w:cs="Segoe UI"/>
                <w:iCs w:val="0"/>
                <w:sz w:val="18"/>
                <w:szCs w:val="14"/>
                <w:lang w:val="en-US"/>
              </w:rPr>
              <w:t xml:space="preserve">should be limited to class </w:t>
            </w:r>
            <w:proofErr w:type="spellStart"/>
            <w:r w:rsidRPr="00F97146">
              <w:rPr>
                <w:rFonts w:eastAsia="Segoe UI" w:cs="Segoe UI"/>
                <w:iCs w:val="0"/>
                <w:sz w:val="18"/>
                <w:szCs w:val="14"/>
                <w:lang w:val="en-US"/>
              </w:rPr>
              <w:t>IIa</w:t>
            </w:r>
            <w:proofErr w:type="spellEnd"/>
            <w:r w:rsidRPr="00F97146">
              <w:rPr>
                <w:rFonts w:eastAsia="Segoe UI" w:cs="Segoe UI"/>
                <w:iCs w:val="0"/>
                <w:sz w:val="18"/>
                <w:szCs w:val="14"/>
                <w:lang w:val="en-US"/>
              </w:rPr>
              <w:t xml:space="preserve"> and IIb devices. Class III devices classified as WET should continue to benefit only from the relief provided for in Art 61 (6).</w:t>
            </w:r>
          </w:p>
        </w:tc>
        <w:tc>
          <w:tcPr>
            <w:tcW w:w="5528" w:type="dxa"/>
            <w:tcBorders>
              <w:top w:val="single" w:sz="4" w:space="0" w:color="auto"/>
              <w:left w:val="single" w:sz="4" w:space="0" w:color="auto"/>
              <w:bottom w:val="single" w:sz="4" w:space="0" w:color="auto"/>
              <w:right w:val="single" w:sz="4" w:space="0" w:color="auto"/>
            </w:tcBorders>
          </w:tcPr>
          <w:p w14:paraId="252C893A" w14:textId="77777777" w:rsidR="00F26E61" w:rsidRPr="00F97146" w:rsidRDefault="00F26E61" w:rsidP="00407A8E">
            <w:pPr>
              <w:tabs>
                <w:tab w:val="left" w:pos="3785"/>
              </w:tabs>
              <w:ind w:right="950"/>
              <w:rPr>
                <w:rFonts w:eastAsia="Segoe UI" w:cs="Segoe UI"/>
                <w:iCs w:val="0"/>
                <w:sz w:val="18"/>
                <w:szCs w:val="14"/>
              </w:rPr>
            </w:pPr>
            <w:r>
              <w:rPr>
                <w:rFonts w:eastAsia="Segoe UI" w:cs="Segoe UI"/>
                <w:iCs w:val="0"/>
                <w:sz w:val="18"/>
                <w:szCs w:val="14"/>
              </w:rPr>
              <w:lastRenderedPageBreak/>
              <w:t xml:space="preserve">Definition of WET in </w:t>
            </w:r>
            <w:r w:rsidRPr="00F97146">
              <w:rPr>
                <w:rFonts w:eastAsia="Segoe UI" w:cs="Segoe UI"/>
                <w:iCs w:val="0"/>
                <w:sz w:val="18"/>
                <w:szCs w:val="14"/>
              </w:rPr>
              <w:t xml:space="preserve">Art 1 (2) (e) – (72) to be </w:t>
            </w:r>
            <w:r>
              <w:rPr>
                <w:rFonts w:eastAsia="Segoe UI" w:cs="Segoe UI"/>
                <w:iCs w:val="0"/>
                <w:sz w:val="18"/>
                <w:szCs w:val="14"/>
              </w:rPr>
              <w:t>improved. See entry  4 above.</w:t>
            </w:r>
            <w:r>
              <w:rPr>
                <w:rFonts w:eastAsia="Segoe UI" w:cs="Segoe UI"/>
                <w:iCs w:val="0"/>
                <w:sz w:val="18"/>
                <w:szCs w:val="14"/>
              </w:rPr>
              <w:br/>
              <w:t xml:space="preserve">In case impossible to draft an unambiguous and restrictive legal definition, a binding and unambiguous </w:t>
            </w:r>
            <w:r w:rsidRPr="00F97146">
              <w:rPr>
                <w:rFonts w:eastAsia="Segoe UI" w:cs="Segoe UI"/>
                <w:iCs w:val="0"/>
                <w:sz w:val="18"/>
                <w:szCs w:val="14"/>
              </w:rPr>
              <w:t>list of all products considered WET devices</w:t>
            </w:r>
            <w:r>
              <w:rPr>
                <w:rFonts w:eastAsia="Segoe UI" w:cs="Segoe UI"/>
                <w:iCs w:val="0"/>
                <w:sz w:val="18"/>
                <w:szCs w:val="14"/>
              </w:rPr>
              <w:t xml:space="preserve"> by application of the definition under </w:t>
            </w:r>
            <w:r w:rsidRPr="00F97146">
              <w:rPr>
                <w:rFonts w:eastAsia="Segoe UI" w:cs="Segoe UI"/>
                <w:iCs w:val="0"/>
                <w:sz w:val="18"/>
                <w:szCs w:val="14"/>
              </w:rPr>
              <w:t>Art 1 (2) (e) – (72)</w:t>
            </w:r>
            <w:r>
              <w:rPr>
                <w:rFonts w:eastAsia="Segoe UI" w:cs="Segoe UI"/>
                <w:iCs w:val="0"/>
                <w:sz w:val="18"/>
                <w:szCs w:val="14"/>
              </w:rPr>
              <w:t xml:space="preserve"> shall </w:t>
            </w:r>
            <w:r w:rsidRPr="00F97146">
              <w:rPr>
                <w:rFonts w:eastAsia="Segoe UI" w:cs="Segoe UI"/>
                <w:iCs w:val="0"/>
                <w:sz w:val="18"/>
                <w:szCs w:val="14"/>
              </w:rPr>
              <w:t>be drawn up by the Commission</w:t>
            </w:r>
            <w:r>
              <w:rPr>
                <w:rFonts w:eastAsia="Segoe UI" w:cs="Segoe UI"/>
                <w:iCs w:val="0"/>
                <w:sz w:val="18"/>
                <w:szCs w:val="14"/>
              </w:rPr>
              <w:t xml:space="preserve"> via an implementing act in accordance with the examination procedure referred to in Art 114(3).  The Commission could be supported by the expert panels as established under MDR art 106. </w:t>
            </w:r>
            <w:r>
              <w:rPr>
                <w:rFonts w:eastAsia="Segoe UI" w:cs="Segoe UI"/>
                <w:iCs w:val="0"/>
                <w:sz w:val="18"/>
                <w:szCs w:val="14"/>
              </w:rPr>
              <w:br/>
              <w:t xml:space="preserve">The Commission shall also establish a procedure to amend this list at predictable and regular intervals.  Applications for amendments shall only be accepted for devices that clearly fulfil the definition of WET under </w:t>
            </w:r>
            <w:r w:rsidRPr="00F97146">
              <w:rPr>
                <w:rFonts w:eastAsia="Segoe UI" w:cs="Segoe UI"/>
                <w:iCs w:val="0"/>
                <w:sz w:val="18"/>
                <w:szCs w:val="14"/>
              </w:rPr>
              <w:t>Art 1 (2) (e) – (72)</w:t>
            </w:r>
            <w:r>
              <w:rPr>
                <w:rFonts w:eastAsia="Segoe UI" w:cs="Segoe UI"/>
                <w:iCs w:val="0"/>
                <w:sz w:val="18"/>
                <w:szCs w:val="14"/>
              </w:rPr>
              <w:t xml:space="preserve">. </w:t>
            </w:r>
          </w:p>
          <w:p w14:paraId="38993F0D" w14:textId="77777777" w:rsidR="00F26E61" w:rsidRPr="00F97146" w:rsidRDefault="00F26E61" w:rsidP="00407A8E">
            <w:pPr>
              <w:rPr>
                <w:rFonts w:eastAsia="Segoe UI" w:cs="Segoe UI"/>
                <w:b/>
                <w:bCs/>
                <w:iCs w:val="0"/>
                <w:sz w:val="18"/>
                <w:szCs w:val="14"/>
              </w:rPr>
            </w:pPr>
          </w:p>
          <w:p w14:paraId="6A14AC6A" w14:textId="77777777" w:rsidR="00F26E61" w:rsidRPr="00F97146" w:rsidRDefault="00F26E61" w:rsidP="00407A8E">
            <w:pPr>
              <w:rPr>
                <w:rFonts w:eastAsia="Segoe UI" w:cs="Segoe UI"/>
                <w:iCs w:val="0"/>
                <w:sz w:val="18"/>
                <w:szCs w:val="14"/>
              </w:rPr>
            </w:pPr>
            <w:r w:rsidRPr="00F97146">
              <w:rPr>
                <w:rFonts w:eastAsia="Segoe UI" w:cs="Segoe UI"/>
                <w:iCs w:val="0"/>
                <w:sz w:val="18"/>
                <w:szCs w:val="14"/>
              </w:rPr>
              <w:lastRenderedPageBreak/>
              <w:t xml:space="preserve">Class III devices classified as WET should not benefit from reduced monitoring requirements but continue to benefit only from the relief provided for in Art 61(6). Art 1(43)(a) to be </w:t>
            </w:r>
            <w:r>
              <w:rPr>
                <w:rFonts w:eastAsia="Segoe UI" w:cs="Segoe UI"/>
                <w:iCs w:val="0"/>
                <w:sz w:val="18"/>
                <w:szCs w:val="14"/>
              </w:rPr>
              <w:t>amended</w:t>
            </w:r>
            <w:r w:rsidRPr="00F97146">
              <w:rPr>
                <w:rFonts w:eastAsia="Segoe UI" w:cs="Segoe UI"/>
                <w:iCs w:val="0"/>
                <w:sz w:val="18"/>
                <w:szCs w:val="14"/>
              </w:rPr>
              <w:t xml:space="preserve">, and Annex I(7)(e) </w:t>
            </w:r>
            <w:r>
              <w:rPr>
                <w:rFonts w:eastAsia="Segoe UI" w:cs="Segoe UI"/>
                <w:iCs w:val="0"/>
                <w:sz w:val="18"/>
                <w:szCs w:val="14"/>
              </w:rPr>
              <w:t>to</w:t>
            </w:r>
            <w:r w:rsidRPr="00F97146">
              <w:rPr>
                <w:rFonts w:eastAsia="Segoe UI" w:cs="Segoe UI"/>
                <w:iCs w:val="0"/>
                <w:sz w:val="18"/>
                <w:szCs w:val="14"/>
              </w:rPr>
              <w:t xml:space="preserve"> be adjusted.</w:t>
            </w:r>
          </w:p>
        </w:tc>
      </w:tr>
      <w:tr w:rsidR="00F26E61" w:rsidRPr="00F97146" w14:paraId="20E5A965" w14:textId="77777777" w:rsidTr="0022597C">
        <w:tc>
          <w:tcPr>
            <w:tcW w:w="568" w:type="dxa"/>
          </w:tcPr>
          <w:p w14:paraId="1A925588" w14:textId="77777777" w:rsidR="00F26E61" w:rsidRPr="00F97146" w:rsidRDefault="00F26E61" w:rsidP="00407A8E">
            <w:pPr>
              <w:spacing w:line="276" w:lineRule="auto"/>
              <w:ind w:left="-48" w:firstLine="6"/>
              <w:jc w:val="center"/>
              <w:rPr>
                <w:rFonts w:eastAsia="Segoe UI" w:cs="Segoe UI"/>
                <w:iCs w:val="0"/>
                <w:sz w:val="18"/>
                <w:szCs w:val="14"/>
              </w:rPr>
            </w:pPr>
            <w:r w:rsidRPr="00F97146">
              <w:rPr>
                <w:rFonts w:eastAsia="Segoe UI" w:cs="Segoe UI"/>
                <w:iCs w:val="0"/>
                <w:sz w:val="18"/>
                <w:szCs w:val="14"/>
              </w:rPr>
              <w:lastRenderedPageBreak/>
              <w:t>6</w:t>
            </w:r>
          </w:p>
        </w:tc>
        <w:tc>
          <w:tcPr>
            <w:tcW w:w="1134" w:type="dxa"/>
            <w:tcBorders>
              <w:top w:val="single" w:sz="4" w:space="0" w:color="auto"/>
              <w:left w:val="single" w:sz="4" w:space="0" w:color="auto"/>
              <w:bottom w:val="single" w:sz="4" w:space="0" w:color="auto"/>
              <w:right w:val="single" w:sz="4" w:space="0" w:color="auto"/>
            </w:tcBorders>
          </w:tcPr>
          <w:p w14:paraId="7AE800E5" w14:textId="77777777" w:rsidR="00F26E61" w:rsidRPr="00F97146" w:rsidRDefault="00F26E61" w:rsidP="00407A8E">
            <w:pPr>
              <w:spacing w:line="276" w:lineRule="auto"/>
              <w:ind w:left="-48" w:firstLine="6"/>
              <w:jc w:val="center"/>
              <w:rPr>
                <w:iCs w:val="0"/>
                <w:sz w:val="18"/>
                <w:szCs w:val="14"/>
                <w:lang w:val="en-US"/>
              </w:rPr>
            </w:pPr>
            <w:r w:rsidRPr="00F97146">
              <w:rPr>
                <w:rFonts w:eastAsia="Segoe UI" w:cs="Segoe UI"/>
                <w:iCs w:val="0"/>
                <w:sz w:val="18"/>
                <w:szCs w:val="14"/>
              </w:rPr>
              <w:t>37</w:t>
            </w:r>
          </w:p>
        </w:tc>
        <w:tc>
          <w:tcPr>
            <w:tcW w:w="1114" w:type="dxa"/>
            <w:tcBorders>
              <w:top w:val="single" w:sz="4" w:space="0" w:color="auto"/>
              <w:left w:val="single" w:sz="4" w:space="0" w:color="auto"/>
              <w:bottom w:val="single" w:sz="4" w:space="0" w:color="auto"/>
              <w:right w:val="single" w:sz="4" w:space="0" w:color="auto"/>
            </w:tcBorders>
          </w:tcPr>
          <w:p w14:paraId="31773DC4" w14:textId="77777777" w:rsidR="00F26E61" w:rsidRPr="00F97146" w:rsidRDefault="00F26E61" w:rsidP="00407A8E">
            <w:pPr>
              <w:spacing w:line="276" w:lineRule="auto"/>
              <w:ind w:left="75"/>
              <w:jc w:val="center"/>
              <w:rPr>
                <w:iCs w:val="0"/>
                <w:sz w:val="18"/>
                <w:szCs w:val="14"/>
                <w:lang w:val="fr-FR"/>
              </w:rPr>
            </w:pPr>
            <w:r w:rsidRPr="00F97146">
              <w:rPr>
                <w:rFonts w:eastAsia="Segoe UI" w:cs="Segoe UI"/>
                <w:iCs w:val="0"/>
                <w:sz w:val="18"/>
                <w:szCs w:val="14"/>
              </w:rPr>
              <w:t>1</w:t>
            </w:r>
          </w:p>
        </w:tc>
        <w:tc>
          <w:tcPr>
            <w:tcW w:w="1134" w:type="dxa"/>
            <w:tcBorders>
              <w:top w:val="single" w:sz="4" w:space="0" w:color="auto"/>
              <w:left w:val="single" w:sz="4" w:space="0" w:color="auto"/>
              <w:bottom w:val="single" w:sz="4" w:space="0" w:color="auto"/>
              <w:right w:val="single" w:sz="4" w:space="0" w:color="auto"/>
            </w:tcBorders>
          </w:tcPr>
          <w:p w14:paraId="46894352" w14:textId="77777777" w:rsidR="00F26E61" w:rsidRPr="00F97146" w:rsidRDefault="00F26E61" w:rsidP="00407A8E">
            <w:pPr>
              <w:spacing w:line="276" w:lineRule="auto"/>
              <w:jc w:val="center"/>
              <w:rPr>
                <w:iCs w:val="0"/>
                <w:sz w:val="18"/>
                <w:szCs w:val="14"/>
                <w:lang w:val="fr-FR"/>
              </w:rPr>
            </w:pPr>
            <w:r w:rsidRPr="00F97146">
              <w:rPr>
                <w:rFonts w:eastAsia="Segoe UI" w:cs="Segoe UI"/>
                <w:iCs w:val="0"/>
                <w:sz w:val="18"/>
                <w:szCs w:val="14"/>
              </w:rPr>
              <w:t>3</w:t>
            </w:r>
          </w:p>
        </w:tc>
        <w:tc>
          <w:tcPr>
            <w:tcW w:w="1134" w:type="dxa"/>
            <w:tcBorders>
              <w:top w:val="single" w:sz="4" w:space="0" w:color="auto"/>
              <w:left w:val="single" w:sz="4" w:space="0" w:color="auto"/>
              <w:bottom w:val="single" w:sz="4" w:space="0" w:color="auto"/>
              <w:right w:val="single" w:sz="4" w:space="0" w:color="auto"/>
            </w:tcBorders>
          </w:tcPr>
          <w:p w14:paraId="1AE886B2" w14:textId="77777777" w:rsidR="00F26E61" w:rsidRPr="00F97146" w:rsidRDefault="00F26E61" w:rsidP="00407A8E">
            <w:pPr>
              <w:spacing w:line="276" w:lineRule="auto"/>
              <w:ind w:left="14"/>
              <w:jc w:val="center"/>
              <w:rPr>
                <w:iCs w:val="0"/>
                <w:sz w:val="18"/>
                <w:szCs w:val="14"/>
                <w:lang w:val="en-US"/>
              </w:rPr>
            </w:pPr>
          </w:p>
        </w:tc>
        <w:tc>
          <w:tcPr>
            <w:tcW w:w="4840" w:type="dxa"/>
            <w:tcBorders>
              <w:top w:val="single" w:sz="4" w:space="0" w:color="auto"/>
              <w:left w:val="single" w:sz="4" w:space="0" w:color="auto"/>
              <w:bottom w:val="single" w:sz="4" w:space="0" w:color="auto"/>
              <w:right w:val="single" w:sz="4" w:space="0" w:color="auto"/>
            </w:tcBorders>
          </w:tcPr>
          <w:p w14:paraId="65840F56" w14:textId="77777777" w:rsidR="00F26E61" w:rsidRPr="00F97146" w:rsidRDefault="00F26E61" w:rsidP="00407A8E">
            <w:pPr>
              <w:spacing w:before="60"/>
              <w:rPr>
                <w:rFonts w:eastAsia="Segoe UI" w:cs="Segoe UI"/>
                <w:iCs w:val="0"/>
                <w:sz w:val="18"/>
                <w:szCs w:val="14"/>
              </w:rPr>
            </w:pPr>
            <w:r w:rsidRPr="00F97146">
              <w:rPr>
                <w:rFonts w:eastAsia="Segoe UI" w:cs="Segoe UI"/>
                <w:iCs w:val="0"/>
                <w:sz w:val="18"/>
                <w:szCs w:val="14"/>
              </w:rPr>
              <w:t xml:space="preserve">Commission proposal: </w:t>
            </w:r>
          </w:p>
          <w:p w14:paraId="164D4AAF" w14:textId="77777777" w:rsidR="00F26E61" w:rsidRPr="00F97146" w:rsidRDefault="00F26E61" w:rsidP="00F26E61">
            <w:pPr>
              <w:pStyle w:val="Paragraphedeliste"/>
              <w:numPr>
                <w:ilvl w:val="0"/>
                <w:numId w:val="80"/>
              </w:numPr>
              <w:spacing w:before="60" w:after="0"/>
              <w:rPr>
                <w:rFonts w:eastAsia="Segoe UI" w:cs="Segoe UI"/>
                <w:i/>
                <w:sz w:val="18"/>
                <w:szCs w:val="14"/>
              </w:rPr>
            </w:pPr>
            <w:r w:rsidRPr="00F97146">
              <w:rPr>
                <w:rFonts w:eastAsia="Segoe UI" w:cs="Segoe UI"/>
                <w:iCs w:val="0"/>
                <w:sz w:val="18"/>
                <w:szCs w:val="14"/>
              </w:rPr>
              <w:t>“</w:t>
            </w:r>
            <w:r w:rsidRPr="00F97146">
              <w:rPr>
                <w:rFonts w:eastAsia="Segoe UI" w:cs="Segoe UI"/>
                <w:i/>
                <w:sz w:val="18"/>
                <w:szCs w:val="14"/>
              </w:rPr>
              <w:t>The Commission is empowered to adopt delegated acts in accordance with Art 115 in order to amend the definition of well-established technology device set out in Art 2, point (72), in the light of technical and scientific progress and taking into account definitions agreed at Union and international level.</w:t>
            </w:r>
          </w:p>
          <w:p w14:paraId="2E36D964" w14:textId="77777777" w:rsidR="00F26E61" w:rsidRPr="00F97146" w:rsidRDefault="00F26E61" w:rsidP="00F26E61">
            <w:pPr>
              <w:pStyle w:val="Paragraphedeliste"/>
              <w:numPr>
                <w:ilvl w:val="0"/>
                <w:numId w:val="80"/>
              </w:numPr>
              <w:spacing w:before="60" w:after="0"/>
              <w:rPr>
                <w:rFonts w:eastAsia="Segoe UI" w:cs="Segoe UI"/>
                <w:i/>
                <w:sz w:val="18"/>
                <w:szCs w:val="14"/>
              </w:rPr>
            </w:pPr>
            <w:r w:rsidRPr="00F97146">
              <w:rPr>
                <w:rFonts w:eastAsia="Segoe UI" w:cs="Segoe UI"/>
                <w:i/>
                <w:sz w:val="18"/>
                <w:szCs w:val="14"/>
              </w:rPr>
              <w:t>The Commission may, by means of implementing acts, draw up non-exhaustive lists of devices that fall under, or of devices that do not fall under the definition of well-established technology device in Art 2, point (72).</w:t>
            </w:r>
          </w:p>
          <w:p w14:paraId="093EA58D" w14:textId="77777777" w:rsidR="00F26E61" w:rsidRPr="00F97146" w:rsidRDefault="00F26E61" w:rsidP="00407A8E">
            <w:pPr>
              <w:pStyle w:val="Paragraphedeliste"/>
              <w:spacing w:before="60"/>
              <w:ind w:left="385"/>
              <w:rPr>
                <w:rFonts w:eastAsia="Segoe UI" w:cs="Segoe UI"/>
                <w:i/>
                <w:sz w:val="18"/>
                <w:szCs w:val="14"/>
              </w:rPr>
            </w:pPr>
          </w:p>
          <w:p w14:paraId="4361CBFE" w14:textId="77777777" w:rsidR="00F26E61" w:rsidRPr="00F97146" w:rsidRDefault="00F26E61" w:rsidP="00407A8E">
            <w:pPr>
              <w:pStyle w:val="Paragraphedeliste"/>
              <w:spacing w:before="60"/>
              <w:ind w:left="385"/>
              <w:rPr>
                <w:rFonts w:eastAsia="Segoe UI" w:cs="Segoe UI"/>
                <w:iCs w:val="0"/>
                <w:sz w:val="18"/>
                <w:szCs w:val="14"/>
              </w:rPr>
            </w:pPr>
            <w:r w:rsidRPr="00F97146">
              <w:rPr>
                <w:rFonts w:eastAsia="Segoe UI" w:cs="Segoe UI"/>
                <w:i/>
                <w:sz w:val="18"/>
                <w:szCs w:val="14"/>
              </w:rPr>
              <w:t>Those implementing acts shall be adopted in accordance with the examination procedure referred to in Art 114(3).”</w:t>
            </w:r>
          </w:p>
        </w:tc>
        <w:tc>
          <w:tcPr>
            <w:tcW w:w="5528" w:type="dxa"/>
            <w:tcBorders>
              <w:top w:val="single" w:sz="4" w:space="0" w:color="auto"/>
              <w:left w:val="single" w:sz="4" w:space="0" w:color="auto"/>
              <w:bottom w:val="single" w:sz="4" w:space="0" w:color="auto"/>
              <w:right w:val="single" w:sz="4" w:space="0" w:color="auto"/>
            </w:tcBorders>
          </w:tcPr>
          <w:p w14:paraId="19DBAAD7" w14:textId="77777777" w:rsidR="00F26E61" w:rsidRPr="00F97146" w:rsidRDefault="00F26E61" w:rsidP="00407A8E">
            <w:pPr>
              <w:spacing w:before="60"/>
              <w:rPr>
                <w:rFonts w:eastAsia="Segoe UI" w:cs="Segoe UI"/>
                <w:iCs w:val="0"/>
                <w:sz w:val="18"/>
                <w:szCs w:val="14"/>
              </w:rPr>
            </w:pPr>
            <w:r w:rsidRPr="00F97146">
              <w:rPr>
                <w:rFonts w:eastAsia="Segoe UI" w:cs="Segoe UI"/>
                <w:iCs w:val="0"/>
                <w:sz w:val="18"/>
                <w:szCs w:val="14"/>
              </w:rPr>
              <w:t>A list of all products considered to be WET devices to be drawn up by the European Commission</w:t>
            </w:r>
            <w:r>
              <w:rPr>
                <w:rFonts w:eastAsia="Segoe UI" w:cs="Segoe UI"/>
                <w:iCs w:val="0"/>
                <w:sz w:val="18"/>
                <w:szCs w:val="14"/>
              </w:rPr>
              <w:t xml:space="preserve">. See entry 5. </w:t>
            </w:r>
          </w:p>
          <w:p w14:paraId="1B35AC3C" w14:textId="77777777" w:rsidR="00F26E61" w:rsidRPr="00F97146" w:rsidRDefault="00F26E61" w:rsidP="00407A8E">
            <w:pPr>
              <w:spacing w:before="60"/>
              <w:rPr>
                <w:rFonts w:eastAsia="Segoe UI" w:cs="Segoe UI"/>
                <w:iCs w:val="0"/>
                <w:sz w:val="18"/>
                <w:szCs w:val="14"/>
              </w:rPr>
            </w:pPr>
            <w:r>
              <w:rPr>
                <w:rFonts w:eastAsia="Segoe UI" w:cs="Segoe UI"/>
                <w:iCs w:val="0"/>
                <w:sz w:val="18"/>
                <w:szCs w:val="14"/>
              </w:rPr>
              <w:t xml:space="preserve">In addition, devices, for which a valid application to be included in the WET list is rejected, shall also be included in the list as “devices </w:t>
            </w:r>
            <w:r w:rsidRPr="00B07D2E">
              <w:rPr>
                <w:rFonts w:eastAsia="Segoe UI" w:cs="Segoe UI"/>
                <w:iCs w:val="0"/>
                <w:sz w:val="18"/>
                <w:szCs w:val="14"/>
                <w:u w:val="single"/>
              </w:rPr>
              <w:t>not</w:t>
            </w:r>
            <w:r>
              <w:rPr>
                <w:rFonts w:eastAsia="Segoe UI" w:cs="Segoe UI"/>
                <w:iCs w:val="0"/>
                <w:sz w:val="18"/>
                <w:szCs w:val="14"/>
              </w:rPr>
              <w:t xml:space="preserve"> considered a WET device”. </w:t>
            </w:r>
          </w:p>
          <w:p w14:paraId="751D4120" w14:textId="77777777" w:rsidR="00F26E61" w:rsidRPr="00F97146" w:rsidRDefault="00F26E61" w:rsidP="00407A8E">
            <w:pPr>
              <w:spacing w:before="60"/>
              <w:rPr>
                <w:rFonts w:eastAsia="Segoe UI" w:cs="Segoe UI"/>
                <w:iCs w:val="0"/>
                <w:sz w:val="18"/>
                <w:szCs w:val="14"/>
              </w:rPr>
            </w:pPr>
            <w:r w:rsidRPr="00F97146">
              <w:rPr>
                <w:iCs w:val="0"/>
                <w:sz w:val="18"/>
                <w:szCs w:val="14"/>
                <w:lang w:val="en-US"/>
              </w:rPr>
              <w:t>Team NB proposed text (Art 3):</w:t>
            </w:r>
          </w:p>
          <w:p w14:paraId="7E5865D4" w14:textId="77777777" w:rsidR="00F26E61" w:rsidRPr="00F97146" w:rsidRDefault="00F26E61" w:rsidP="00407A8E">
            <w:pPr>
              <w:spacing w:before="60"/>
              <w:rPr>
                <w:rFonts w:eastAsia="Segoe UI" w:cs="Segoe UI"/>
                <w:i/>
                <w:sz w:val="18"/>
                <w:szCs w:val="14"/>
              </w:rPr>
            </w:pPr>
            <w:r w:rsidRPr="00F97146">
              <w:rPr>
                <w:rFonts w:eastAsia="Segoe UI" w:cs="Segoe UI"/>
                <w:iCs w:val="0"/>
                <w:sz w:val="18"/>
                <w:szCs w:val="14"/>
              </w:rPr>
              <w:t>“</w:t>
            </w:r>
            <w:r w:rsidRPr="00F97146">
              <w:rPr>
                <w:rFonts w:eastAsia="Segoe UI" w:cs="Segoe UI"/>
                <w:i/>
                <w:sz w:val="18"/>
                <w:szCs w:val="14"/>
              </w:rPr>
              <w:t>The Commission may, by means of implementing acts, draw up lists of devices that</w:t>
            </w:r>
            <w:r w:rsidRPr="00F97146">
              <w:rPr>
                <w:rFonts w:eastAsia="Segoe UI" w:cs="Segoe UI"/>
                <w:b/>
                <w:bCs/>
                <w:i/>
                <w:sz w:val="18"/>
                <w:szCs w:val="14"/>
              </w:rPr>
              <w:t xml:space="preserve"> are a or are not a </w:t>
            </w:r>
            <w:r w:rsidRPr="00F97146">
              <w:rPr>
                <w:rFonts w:eastAsia="Segoe UI" w:cs="Segoe UI"/>
                <w:i/>
                <w:sz w:val="18"/>
                <w:szCs w:val="14"/>
              </w:rPr>
              <w:t>well-established technology.</w:t>
            </w:r>
          </w:p>
          <w:p w14:paraId="204763F0" w14:textId="77777777" w:rsidR="00F26E61" w:rsidRPr="00F97146" w:rsidRDefault="00F26E61" w:rsidP="00407A8E">
            <w:pPr>
              <w:spacing w:before="60"/>
              <w:rPr>
                <w:rFonts w:eastAsia="Segoe UI" w:cs="Segoe UI"/>
                <w:i/>
                <w:sz w:val="18"/>
                <w:szCs w:val="14"/>
              </w:rPr>
            </w:pPr>
          </w:p>
          <w:p w14:paraId="6DD1B3A5" w14:textId="77777777" w:rsidR="00F26E61" w:rsidRPr="00F97146" w:rsidRDefault="00F26E61" w:rsidP="00407A8E">
            <w:pPr>
              <w:spacing w:line="276" w:lineRule="auto"/>
              <w:rPr>
                <w:bCs/>
                <w:iCs w:val="0"/>
                <w:sz w:val="18"/>
                <w:szCs w:val="14"/>
              </w:rPr>
            </w:pPr>
            <w:r w:rsidRPr="00F97146">
              <w:rPr>
                <w:rFonts w:eastAsia="Segoe UI" w:cs="Segoe UI"/>
                <w:i/>
                <w:sz w:val="18"/>
                <w:szCs w:val="14"/>
                <w:lang w:val="en-US"/>
              </w:rPr>
              <w:t>Those implementing acts shall be adopted in accordance with the examination procedure referred to in Art 114(3).</w:t>
            </w:r>
            <w:r w:rsidRPr="00F97146">
              <w:rPr>
                <w:rFonts w:eastAsia="Segoe UI" w:cs="Segoe UI"/>
                <w:iCs w:val="0"/>
                <w:sz w:val="18"/>
                <w:szCs w:val="14"/>
                <w:lang w:val="en-US"/>
              </w:rPr>
              <w:t>”</w:t>
            </w:r>
          </w:p>
        </w:tc>
      </w:tr>
      <w:tr w:rsidR="00F26E61" w:rsidRPr="00F97146" w14:paraId="1E2EC05F" w14:textId="77777777" w:rsidTr="0022597C">
        <w:tc>
          <w:tcPr>
            <w:tcW w:w="568" w:type="dxa"/>
          </w:tcPr>
          <w:p w14:paraId="25A04343" w14:textId="77777777" w:rsidR="00F26E61" w:rsidRPr="00F97146" w:rsidRDefault="00F26E61" w:rsidP="00407A8E">
            <w:pPr>
              <w:spacing w:line="276" w:lineRule="auto"/>
              <w:ind w:left="-48" w:firstLine="6"/>
              <w:jc w:val="center"/>
              <w:rPr>
                <w:iCs w:val="0"/>
                <w:sz w:val="18"/>
                <w:szCs w:val="14"/>
                <w:lang w:val="en-US"/>
              </w:rPr>
            </w:pPr>
            <w:r w:rsidRPr="00F97146">
              <w:rPr>
                <w:iCs w:val="0"/>
                <w:sz w:val="18"/>
                <w:szCs w:val="14"/>
                <w:lang w:val="en-US"/>
              </w:rPr>
              <w:t>7</w:t>
            </w:r>
          </w:p>
        </w:tc>
        <w:tc>
          <w:tcPr>
            <w:tcW w:w="1134" w:type="dxa"/>
            <w:tcBorders>
              <w:top w:val="single" w:sz="4" w:space="0" w:color="auto"/>
              <w:left w:val="single" w:sz="4" w:space="0" w:color="auto"/>
              <w:bottom w:val="single" w:sz="4" w:space="0" w:color="auto"/>
              <w:right w:val="single" w:sz="4" w:space="0" w:color="auto"/>
            </w:tcBorders>
          </w:tcPr>
          <w:p w14:paraId="10412454" w14:textId="77777777" w:rsidR="00F26E61" w:rsidRPr="00F97146" w:rsidRDefault="00F26E61" w:rsidP="00407A8E">
            <w:pPr>
              <w:spacing w:line="276" w:lineRule="auto"/>
              <w:ind w:left="-48" w:firstLine="6"/>
              <w:jc w:val="center"/>
              <w:rPr>
                <w:iCs w:val="0"/>
                <w:sz w:val="18"/>
                <w:szCs w:val="14"/>
                <w:lang w:val="en-US"/>
              </w:rPr>
            </w:pPr>
            <w:r w:rsidRPr="00F97146">
              <w:rPr>
                <w:iCs w:val="0"/>
                <w:sz w:val="18"/>
                <w:szCs w:val="14"/>
                <w:lang w:val="en-US"/>
              </w:rPr>
              <w:t>38, 60, 80, 83, 92, 103, 104, 121</w:t>
            </w:r>
          </w:p>
        </w:tc>
        <w:tc>
          <w:tcPr>
            <w:tcW w:w="1114" w:type="dxa"/>
            <w:tcBorders>
              <w:top w:val="single" w:sz="4" w:space="0" w:color="auto"/>
              <w:left w:val="single" w:sz="4" w:space="0" w:color="auto"/>
              <w:bottom w:val="single" w:sz="4" w:space="0" w:color="auto"/>
              <w:right w:val="single" w:sz="4" w:space="0" w:color="auto"/>
            </w:tcBorders>
          </w:tcPr>
          <w:p w14:paraId="2E1B6CD4" w14:textId="77777777" w:rsidR="00F26E61" w:rsidRPr="00F97146" w:rsidRDefault="00F26E61" w:rsidP="00407A8E">
            <w:pPr>
              <w:spacing w:line="276" w:lineRule="auto"/>
              <w:ind w:left="75"/>
              <w:jc w:val="center"/>
              <w:rPr>
                <w:iCs w:val="0"/>
                <w:sz w:val="18"/>
                <w:szCs w:val="14"/>
                <w:lang w:val="fr-FR"/>
              </w:rPr>
            </w:pPr>
            <w:r w:rsidRPr="00F97146">
              <w:rPr>
                <w:iCs w:val="0"/>
                <w:sz w:val="18"/>
                <w:szCs w:val="14"/>
                <w:lang w:val="fr-FR"/>
              </w:rPr>
              <w:t>MDR: 1</w:t>
            </w:r>
          </w:p>
          <w:p w14:paraId="6D2AD156" w14:textId="77777777" w:rsidR="00F26E61" w:rsidRPr="00F97146" w:rsidRDefault="00F26E61" w:rsidP="00407A8E">
            <w:pPr>
              <w:spacing w:line="276" w:lineRule="auto"/>
              <w:ind w:left="75"/>
              <w:jc w:val="center"/>
              <w:rPr>
                <w:iCs w:val="0"/>
                <w:sz w:val="18"/>
                <w:szCs w:val="14"/>
                <w:lang w:val="fr-FR"/>
              </w:rPr>
            </w:pPr>
            <w:r w:rsidRPr="00F97146">
              <w:rPr>
                <w:iCs w:val="0"/>
                <w:sz w:val="18"/>
                <w:szCs w:val="14"/>
                <w:lang w:val="fr-FR"/>
              </w:rPr>
              <w:t>IVDR: 2</w:t>
            </w:r>
          </w:p>
          <w:p w14:paraId="1EADC5A8" w14:textId="77777777" w:rsidR="00F26E61" w:rsidRPr="00F97146" w:rsidRDefault="00F26E61" w:rsidP="00407A8E">
            <w:pPr>
              <w:spacing w:line="276" w:lineRule="auto"/>
              <w:ind w:left="75"/>
              <w:jc w:val="center"/>
              <w:rPr>
                <w:iCs w:val="0"/>
                <w:sz w:val="18"/>
                <w:szCs w:val="14"/>
                <w:lang w:val="fr-FR"/>
              </w:rPr>
            </w:pPr>
          </w:p>
          <w:p w14:paraId="0B8489CA" w14:textId="77777777" w:rsidR="00F26E61" w:rsidRPr="00F97146" w:rsidRDefault="00F26E61" w:rsidP="00407A8E">
            <w:pPr>
              <w:spacing w:line="276" w:lineRule="auto"/>
              <w:ind w:left="75"/>
              <w:rPr>
                <w:iCs w:val="0"/>
                <w:sz w:val="18"/>
                <w:szCs w:val="14"/>
                <w:lang w:val="fr-FR"/>
              </w:rPr>
            </w:pPr>
          </w:p>
        </w:tc>
        <w:tc>
          <w:tcPr>
            <w:tcW w:w="1134" w:type="dxa"/>
            <w:tcBorders>
              <w:top w:val="single" w:sz="4" w:space="0" w:color="auto"/>
              <w:left w:val="single" w:sz="4" w:space="0" w:color="auto"/>
              <w:bottom w:val="single" w:sz="4" w:space="0" w:color="auto"/>
              <w:right w:val="single" w:sz="4" w:space="0" w:color="auto"/>
            </w:tcBorders>
          </w:tcPr>
          <w:p w14:paraId="76A6AFFE" w14:textId="77777777" w:rsidR="00F26E61" w:rsidRPr="00F97146" w:rsidRDefault="00F26E61" w:rsidP="00407A8E">
            <w:pPr>
              <w:spacing w:line="276" w:lineRule="auto"/>
              <w:jc w:val="center"/>
              <w:rPr>
                <w:iCs w:val="0"/>
                <w:sz w:val="18"/>
                <w:szCs w:val="14"/>
                <w:lang w:val="fr-FR"/>
              </w:rPr>
            </w:pPr>
            <w:r w:rsidRPr="00F97146">
              <w:rPr>
                <w:iCs w:val="0"/>
                <w:sz w:val="18"/>
                <w:szCs w:val="14"/>
                <w:lang w:val="fr-FR"/>
              </w:rPr>
              <w:t>MDR:  4, 42, 75, 86</w:t>
            </w:r>
          </w:p>
          <w:p w14:paraId="73BAAA84" w14:textId="77777777" w:rsidR="00F26E61" w:rsidRPr="00F97146" w:rsidRDefault="00F26E61" w:rsidP="00407A8E">
            <w:pPr>
              <w:spacing w:line="276" w:lineRule="auto"/>
              <w:jc w:val="center"/>
              <w:rPr>
                <w:iCs w:val="0"/>
                <w:sz w:val="18"/>
                <w:szCs w:val="14"/>
                <w:lang w:val="fr-FR"/>
              </w:rPr>
            </w:pPr>
            <w:r w:rsidRPr="00F97146">
              <w:rPr>
                <w:iCs w:val="0"/>
                <w:sz w:val="18"/>
                <w:szCs w:val="14"/>
                <w:lang w:val="fr-FR"/>
              </w:rPr>
              <w:t>IVDR: 4, 28, 61</w:t>
            </w:r>
          </w:p>
          <w:p w14:paraId="5B2C84E9" w14:textId="77777777" w:rsidR="00F26E61" w:rsidRPr="00F97146" w:rsidRDefault="00F26E61" w:rsidP="00407A8E">
            <w:pPr>
              <w:spacing w:line="276" w:lineRule="auto"/>
              <w:rPr>
                <w:iCs w:val="0"/>
                <w:sz w:val="18"/>
                <w:szCs w:val="14"/>
                <w:lang w:val="en-US"/>
              </w:rPr>
            </w:pPr>
          </w:p>
        </w:tc>
        <w:tc>
          <w:tcPr>
            <w:tcW w:w="1134" w:type="dxa"/>
            <w:tcBorders>
              <w:top w:val="single" w:sz="4" w:space="0" w:color="auto"/>
              <w:left w:val="single" w:sz="4" w:space="0" w:color="auto"/>
              <w:bottom w:val="single" w:sz="4" w:space="0" w:color="auto"/>
              <w:right w:val="single" w:sz="4" w:space="0" w:color="auto"/>
            </w:tcBorders>
          </w:tcPr>
          <w:p w14:paraId="55F3BB54" w14:textId="77777777" w:rsidR="00F26E61" w:rsidRPr="00F97146" w:rsidRDefault="00F26E61" w:rsidP="00407A8E">
            <w:pPr>
              <w:spacing w:line="276" w:lineRule="auto"/>
              <w:ind w:left="14"/>
              <w:jc w:val="center"/>
              <w:rPr>
                <w:iCs w:val="0"/>
                <w:sz w:val="18"/>
                <w:szCs w:val="14"/>
                <w:lang w:val="en-US"/>
              </w:rPr>
            </w:pPr>
          </w:p>
        </w:tc>
        <w:tc>
          <w:tcPr>
            <w:tcW w:w="4840" w:type="dxa"/>
            <w:tcBorders>
              <w:top w:val="single" w:sz="4" w:space="0" w:color="auto"/>
              <w:left w:val="single" w:sz="4" w:space="0" w:color="auto"/>
              <w:bottom w:val="single" w:sz="4" w:space="0" w:color="auto"/>
              <w:right w:val="single" w:sz="4" w:space="0" w:color="auto"/>
            </w:tcBorders>
          </w:tcPr>
          <w:p w14:paraId="026679CF" w14:textId="77777777" w:rsidR="00F26E61" w:rsidRPr="00F97146" w:rsidRDefault="00F26E61" w:rsidP="00407A8E">
            <w:pPr>
              <w:spacing w:line="276" w:lineRule="auto"/>
              <w:rPr>
                <w:bCs/>
                <w:iCs w:val="0"/>
                <w:sz w:val="18"/>
                <w:szCs w:val="14"/>
              </w:rPr>
            </w:pPr>
            <w:r w:rsidRPr="00F97146">
              <w:rPr>
                <w:bCs/>
                <w:iCs w:val="0"/>
                <w:sz w:val="18"/>
                <w:szCs w:val="14"/>
              </w:rPr>
              <w:t>The new Art MDR (3a IVDR) establishes a formal pathway for determining whether a product or group of products falls within the definition of a medical device or accessory, or within the scope of Ann</w:t>
            </w:r>
            <w:r w:rsidRPr="00F97146">
              <w:rPr>
                <w:rFonts w:ascii="Arial" w:hAnsi="Arial" w:cs="Arial"/>
                <w:bCs/>
                <w:iCs w:val="0"/>
                <w:sz w:val="18"/>
                <w:szCs w:val="14"/>
              </w:rPr>
              <w:t> </w:t>
            </w:r>
            <w:r w:rsidRPr="00F97146">
              <w:rPr>
                <w:bCs/>
                <w:iCs w:val="0"/>
                <w:sz w:val="18"/>
                <w:szCs w:val="14"/>
              </w:rPr>
              <w:t>XVI. As per paragraphs 1 and 2, Expert Panel opinions issued under Art</w:t>
            </w:r>
            <w:r w:rsidRPr="00F97146">
              <w:rPr>
                <w:rFonts w:ascii="Arial" w:hAnsi="Arial" w:cs="Arial"/>
                <w:bCs/>
                <w:iCs w:val="0"/>
                <w:sz w:val="18"/>
                <w:szCs w:val="14"/>
              </w:rPr>
              <w:t> </w:t>
            </w:r>
            <w:r w:rsidRPr="00F97146">
              <w:rPr>
                <w:bCs/>
                <w:iCs w:val="0"/>
                <w:sz w:val="18"/>
                <w:szCs w:val="14"/>
              </w:rPr>
              <w:t>106 form the scientific basis for subsequent regulatory determinations.</w:t>
            </w:r>
          </w:p>
          <w:p w14:paraId="305BAA14" w14:textId="77777777" w:rsidR="00F26E61" w:rsidRPr="00F97146" w:rsidRDefault="00F26E61" w:rsidP="00407A8E">
            <w:pPr>
              <w:spacing w:line="276" w:lineRule="auto"/>
              <w:rPr>
                <w:bCs/>
                <w:iCs w:val="0"/>
                <w:sz w:val="18"/>
                <w:szCs w:val="14"/>
              </w:rPr>
            </w:pPr>
          </w:p>
          <w:p w14:paraId="47989DBB" w14:textId="77777777" w:rsidR="00F26E61" w:rsidRPr="00F97146" w:rsidRDefault="00F26E61" w:rsidP="00407A8E">
            <w:pPr>
              <w:spacing w:line="276" w:lineRule="auto"/>
              <w:rPr>
                <w:bCs/>
                <w:iCs w:val="0"/>
                <w:sz w:val="18"/>
                <w:szCs w:val="14"/>
              </w:rPr>
            </w:pPr>
            <w:r w:rsidRPr="00F97146">
              <w:rPr>
                <w:bCs/>
                <w:iCs w:val="0"/>
                <w:sz w:val="18"/>
                <w:szCs w:val="14"/>
              </w:rPr>
              <w:t xml:space="preserve">Proposed Arts 51a and 51b MDR (47a and 47b IVDR) introduce an additional pathway for resolving disputes and </w:t>
            </w:r>
            <w:r w:rsidRPr="00F97146">
              <w:rPr>
                <w:bCs/>
                <w:iCs w:val="0"/>
                <w:sz w:val="18"/>
                <w:szCs w:val="14"/>
              </w:rPr>
              <w:lastRenderedPageBreak/>
              <w:t>challenges related to the classification of CE</w:t>
            </w:r>
            <w:r w:rsidRPr="00F97146">
              <w:rPr>
                <w:rFonts w:ascii="Cambria Math" w:hAnsi="Cambria Math" w:cs="Cambria Math"/>
                <w:bCs/>
                <w:iCs w:val="0"/>
                <w:sz w:val="18"/>
                <w:szCs w:val="14"/>
              </w:rPr>
              <w:t>‑</w:t>
            </w:r>
            <w:r w:rsidRPr="00F97146">
              <w:rPr>
                <w:bCs/>
                <w:iCs w:val="0"/>
                <w:sz w:val="18"/>
                <w:szCs w:val="14"/>
              </w:rPr>
              <w:t>marked devices, including:</w:t>
            </w:r>
          </w:p>
          <w:p w14:paraId="44E7DEF5" w14:textId="77777777" w:rsidR="00F26E61" w:rsidRPr="00F97146" w:rsidRDefault="00F26E61" w:rsidP="00F26E61">
            <w:pPr>
              <w:pStyle w:val="Paragraphedeliste"/>
              <w:numPr>
                <w:ilvl w:val="0"/>
                <w:numId w:val="65"/>
              </w:numPr>
              <w:spacing w:after="0" w:line="276" w:lineRule="auto"/>
              <w:rPr>
                <w:bCs/>
                <w:iCs w:val="0"/>
                <w:sz w:val="18"/>
                <w:szCs w:val="14"/>
              </w:rPr>
            </w:pPr>
            <w:r w:rsidRPr="00F97146">
              <w:rPr>
                <w:bCs/>
                <w:iCs w:val="0"/>
                <w:sz w:val="18"/>
                <w:szCs w:val="14"/>
              </w:rPr>
              <w:t>identification of potential misclassification following an evaluation under Art</w:t>
            </w:r>
            <w:r w:rsidRPr="00F97146">
              <w:rPr>
                <w:rFonts w:ascii="Arial" w:hAnsi="Arial" w:cs="Arial"/>
                <w:bCs/>
                <w:iCs w:val="0"/>
                <w:sz w:val="18"/>
                <w:szCs w:val="14"/>
              </w:rPr>
              <w:t> </w:t>
            </w:r>
            <w:r w:rsidRPr="00F97146">
              <w:rPr>
                <w:bCs/>
                <w:iCs w:val="0"/>
                <w:sz w:val="18"/>
                <w:szCs w:val="14"/>
              </w:rPr>
              <w:t>94 MDR (89 IVDR);</w:t>
            </w:r>
          </w:p>
          <w:p w14:paraId="0E61368C" w14:textId="77777777" w:rsidR="00F26E61" w:rsidRPr="00F97146" w:rsidRDefault="00F26E61" w:rsidP="00F26E61">
            <w:pPr>
              <w:pStyle w:val="Paragraphedeliste"/>
              <w:numPr>
                <w:ilvl w:val="0"/>
                <w:numId w:val="65"/>
              </w:numPr>
              <w:spacing w:after="0" w:line="276" w:lineRule="auto"/>
              <w:rPr>
                <w:bCs/>
                <w:iCs w:val="0"/>
                <w:sz w:val="18"/>
                <w:szCs w:val="14"/>
              </w:rPr>
            </w:pPr>
            <w:r w:rsidRPr="00F97146">
              <w:rPr>
                <w:bCs/>
                <w:iCs w:val="0"/>
                <w:sz w:val="18"/>
                <w:szCs w:val="14"/>
              </w:rPr>
              <w:t>mandatory coordination and consultation among Member States (Art</w:t>
            </w:r>
            <w:r w:rsidRPr="00F97146">
              <w:rPr>
                <w:rFonts w:ascii="Arial" w:hAnsi="Arial" w:cs="Arial"/>
                <w:bCs/>
                <w:iCs w:val="0"/>
                <w:sz w:val="18"/>
                <w:szCs w:val="14"/>
              </w:rPr>
              <w:t> </w:t>
            </w:r>
            <w:r w:rsidRPr="00F97146">
              <w:rPr>
                <w:bCs/>
                <w:iCs w:val="0"/>
                <w:sz w:val="18"/>
                <w:szCs w:val="14"/>
              </w:rPr>
              <w:t>51b(1)</w:t>
            </w:r>
            <w:r w:rsidRPr="00F97146">
              <w:rPr>
                <w:rFonts w:cs="Aptos"/>
                <w:bCs/>
                <w:iCs w:val="0"/>
                <w:sz w:val="18"/>
                <w:szCs w:val="14"/>
              </w:rPr>
              <w:t>–</w:t>
            </w:r>
            <w:r w:rsidRPr="00F97146">
              <w:rPr>
                <w:bCs/>
                <w:iCs w:val="0"/>
                <w:sz w:val="18"/>
                <w:szCs w:val="14"/>
              </w:rPr>
              <w:t>(2) MDR) (47b(1)-(2) IVDR);</w:t>
            </w:r>
          </w:p>
          <w:p w14:paraId="42764EA8" w14:textId="77777777" w:rsidR="00F26E61" w:rsidRPr="00F97146" w:rsidRDefault="00F26E61" w:rsidP="00F26E61">
            <w:pPr>
              <w:pStyle w:val="Paragraphedeliste"/>
              <w:numPr>
                <w:ilvl w:val="0"/>
                <w:numId w:val="65"/>
              </w:numPr>
              <w:spacing w:after="0" w:line="276" w:lineRule="auto"/>
              <w:rPr>
                <w:bCs/>
                <w:iCs w:val="0"/>
                <w:sz w:val="18"/>
                <w:szCs w:val="14"/>
              </w:rPr>
            </w:pPr>
            <w:r w:rsidRPr="00F97146">
              <w:rPr>
                <w:bCs/>
                <w:iCs w:val="0"/>
                <w:sz w:val="18"/>
                <w:szCs w:val="14"/>
              </w:rPr>
              <w:t>referral to an Expert Panel under Art</w:t>
            </w:r>
            <w:r w:rsidRPr="00F97146">
              <w:rPr>
                <w:rFonts w:ascii="Arial" w:hAnsi="Arial" w:cs="Arial"/>
                <w:bCs/>
                <w:iCs w:val="0"/>
                <w:sz w:val="18"/>
                <w:szCs w:val="14"/>
              </w:rPr>
              <w:t> </w:t>
            </w:r>
            <w:r w:rsidRPr="00F97146">
              <w:rPr>
                <w:bCs/>
                <w:iCs w:val="0"/>
                <w:sz w:val="18"/>
                <w:szCs w:val="14"/>
              </w:rPr>
              <w:t>51b(3) (47b(3) IVDR) where a substantiated disagreement is raised;</w:t>
            </w:r>
          </w:p>
          <w:p w14:paraId="4FB46CE7" w14:textId="77777777" w:rsidR="00F26E61" w:rsidRPr="00F97146" w:rsidRDefault="00F26E61" w:rsidP="00F26E61">
            <w:pPr>
              <w:pStyle w:val="Paragraphedeliste"/>
              <w:numPr>
                <w:ilvl w:val="0"/>
                <w:numId w:val="65"/>
              </w:numPr>
              <w:spacing w:after="0" w:line="276" w:lineRule="auto"/>
              <w:rPr>
                <w:bCs/>
                <w:iCs w:val="0"/>
                <w:sz w:val="18"/>
                <w:szCs w:val="14"/>
              </w:rPr>
            </w:pPr>
            <w:r w:rsidRPr="00F97146">
              <w:rPr>
                <w:bCs/>
                <w:iCs w:val="0"/>
                <w:sz w:val="18"/>
                <w:szCs w:val="14"/>
              </w:rPr>
              <w:t>adoption of the Member State decision giving utmost consideration to the Panel opinion (Art</w:t>
            </w:r>
            <w:r w:rsidRPr="00F97146">
              <w:rPr>
                <w:rFonts w:ascii="Arial" w:hAnsi="Arial" w:cs="Arial"/>
                <w:bCs/>
                <w:iCs w:val="0"/>
                <w:sz w:val="18"/>
                <w:szCs w:val="14"/>
              </w:rPr>
              <w:t> </w:t>
            </w:r>
            <w:r w:rsidRPr="00F97146">
              <w:rPr>
                <w:bCs/>
                <w:iCs w:val="0"/>
                <w:sz w:val="18"/>
                <w:szCs w:val="14"/>
              </w:rPr>
              <w:t>51b(4)) (47b(4) IVDR).</w:t>
            </w:r>
          </w:p>
          <w:p w14:paraId="57C2CD02" w14:textId="77777777" w:rsidR="00F26E61" w:rsidRPr="00F97146" w:rsidRDefault="00F26E61" w:rsidP="00407A8E">
            <w:pPr>
              <w:spacing w:line="276" w:lineRule="auto"/>
              <w:rPr>
                <w:bCs/>
                <w:iCs w:val="0"/>
                <w:sz w:val="18"/>
                <w:szCs w:val="14"/>
              </w:rPr>
            </w:pPr>
            <w:r w:rsidRPr="00F97146">
              <w:rPr>
                <w:bCs/>
                <w:iCs w:val="0"/>
                <w:sz w:val="18"/>
                <w:szCs w:val="14"/>
              </w:rPr>
              <w:t>Given these responsibilities, the B&amp;C Standing Expert Panel must operate under the full governance framework of proposed MDR Art</w:t>
            </w:r>
            <w:r w:rsidRPr="00F97146">
              <w:rPr>
                <w:rFonts w:ascii="Arial" w:hAnsi="Arial" w:cs="Arial"/>
                <w:bCs/>
                <w:iCs w:val="0"/>
                <w:sz w:val="18"/>
                <w:szCs w:val="14"/>
              </w:rPr>
              <w:t> </w:t>
            </w:r>
            <w:r w:rsidRPr="00F97146">
              <w:rPr>
                <w:bCs/>
                <w:iCs w:val="0"/>
                <w:sz w:val="18"/>
                <w:szCs w:val="14"/>
              </w:rPr>
              <w:t>106.</w:t>
            </w:r>
          </w:p>
          <w:p w14:paraId="673F9F90" w14:textId="77777777" w:rsidR="00F26E61" w:rsidRPr="00F97146" w:rsidRDefault="00F26E61" w:rsidP="00407A8E">
            <w:pPr>
              <w:spacing w:line="276" w:lineRule="auto"/>
              <w:rPr>
                <w:bCs/>
                <w:iCs w:val="0"/>
                <w:sz w:val="18"/>
                <w:szCs w:val="14"/>
              </w:rPr>
            </w:pPr>
          </w:p>
          <w:p w14:paraId="0ED94F5A" w14:textId="77777777" w:rsidR="00F26E61" w:rsidRPr="00F97146" w:rsidRDefault="00F26E61" w:rsidP="00407A8E">
            <w:pPr>
              <w:spacing w:line="276" w:lineRule="auto"/>
              <w:rPr>
                <w:bCs/>
                <w:iCs w:val="0"/>
                <w:sz w:val="18"/>
                <w:szCs w:val="14"/>
              </w:rPr>
            </w:pPr>
            <w:r w:rsidRPr="00F97146">
              <w:rPr>
                <w:bCs/>
                <w:iCs w:val="0"/>
                <w:sz w:val="18"/>
                <w:szCs w:val="14"/>
              </w:rPr>
              <w:t>Because borderline/classification work requires broad regulatory judgement, the NB experts contributing to the B&amp;C Standing Panel should be seasoned generalists with long</w:t>
            </w:r>
            <w:r w:rsidRPr="00F97146">
              <w:rPr>
                <w:rFonts w:ascii="Cambria Math" w:hAnsi="Cambria Math" w:cs="Cambria Math"/>
                <w:bCs/>
                <w:iCs w:val="0"/>
                <w:sz w:val="18"/>
                <w:szCs w:val="14"/>
              </w:rPr>
              <w:t>‑</w:t>
            </w:r>
            <w:r w:rsidRPr="00F97146">
              <w:rPr>
                <w:bCs/>
                <w:iCs w:val="0"/>
                <w:sz w:val="18"/>
                <w:szCs w:val="14"/>
              </w:rPr>
              <w:t>standing cross</w:t>
            </w:r>
            <w:r w:rsidRPr="00F97146">
              <w:rPr>
                <w:rFonts w:ascii="Cambria Math" w:hAnsi="Cambria Math" w:cs="Cambria Math"/>
                <w:bCs/>
                <w:iCs w:val="0"/>
                <w:sz w:val="18"/>
                <w:szCs w:val="14"/>
              </w:rPr>
              <w:t>‑</w:t>
            </w:r>
            <w:r w:rsidRPr="00F97146">
              <w:rPr>
                <w:bCs/>
                <w:iCs w:val="0"/>
                <w:sz w:val="18"/>
                <w:szCs w:val="14"/>
              </w:rPr>
              <w:t>cutting experience (</w:t>
            </w:r>
            <w:r w:rsidRPr="00F97146">
              <w:rPr>
                <w:rFonts w:cs="Aptos"/>
                <w:bCs/>
                <w:iCs w:val="0"/>
                <w:sz w:val="18"/>
                <w:szCs w:val="14"/>
              </w:rPr>
              <w:t>“</w:t>
            </w:r>
            <w:r w:rsidRPr="00F97146">
              <w:rPr>
                <w:bCs/>
                <w:iCs w:val="0"/>
                <w:sz w:val="18"/>
                <w:szCs w:val="14"/>
              </w:rPr>
              <w:t xml:space="preserve">eminences </w:t>
            </w:r>
            <w:proofErr w:type="spellStart"/>
            <w:r w:rsidRPr="00F97146">
              <w:rPr>
                <w:bCs/>
                <w:iCs w:val="0"/>
                <w:sz w:val="18"/>
                <w:szCs w:val="14"/>
              </w:rPr>
              <w:t>grises</w:t>
            </w:r>
            <w:proofErr w:type="spellEnd"/>
            <w:r w:rsidRPr="00F97146">
              <w:rPr>
                <w:rFonts w:cs="Aptos"/>
                <w:bCs/>
                <w:iCs w:val="0"/>
                <w:sz w:val="18"/>
                <w:szCs w:val="14"/>
              </w:rPr>
              <w:t>”</w:t>
            </w:r>
            <w:r w:rsidRPr="00F97146">
              <w:rPr>
                <w:bCs/>
                <w:iCs w:val="0"/>
                <w:sz w:val="18"/>
                <w:szCs w:val="14"/>
              </w:rPr>
              <w:t>), distinct from the technology</w:t>
            </w:r>
            <w:r w:rsidRPr="00F97146">
              <w:rPr>
                <w:rFonts w:ascii="Cambria Math" w:hAnsi="Cambria Math" w:cs="Cambria Math"/>
                <w:bCs/>
                <w:iCs w:val="0"/>
                <w:sz w:val="18"/>
                <w:szCs w:val="14"/>
              </w:rPr>
              <w:t>‑</w:t>
            </w:r>
            <w:r w:rsidRPr="00F97146">
              <w:rPr>
                <w:bCs/>
                <w:iCs w:val="0"/>
                <w:sz w:val="18"/>
                <w:szCs w:val="14"/>
              </w:rPr>
              <w:t>specific experts used in thematic clinical or technical panels.</w:t>
            </w:r>
          </w:p>
          <w:p w14:paraId="41C5E2B9" w14:textId="77777777" w:rsidR="00F26E61" w:rsidRPr="00F97146" w:rsidRDefault="00F26E61" w:rsidP="00407A8E">
            <w:pPr>
              <w:spacing w:line="276" w:lineRule="auto"/>
              <w:rPr>
                <w:bCs/>
                <w:iCs w:val="0"/>
                <w:sz w:val="18"/>
                <w:szCs w:val="14"/>
              </w:rPr>
            </w:pPr>
          </w:p>
          <w:p w14:paraId="5F97A16E" w14:textId="77777777" w:rsidR="00F26E61" w:rsidRPr="00F97146" w:rsidRDefault="00F26E61" w:rsidP="00407A8E">
            <w:pPr>
              <w:spacing w:line="276" w:lineRule="auto"/>
              <w:rPr>
                <w:bCs/>
                <w:iCs w:val="0"/>
                <w:sz w:val="18"/>
                <w:szCs w:val="14"/>
              </w:rPr>
            </w:pPr>
            <w:r w:rsidRPr="00F97146">
              <w:rPr>
                <w:bCs/>
                <w:iCs w:val="0"/>
                <w:sz w:val="18"/>
                <w:szCs w:val="14"/>
              </w:rPr>
              <w:t>This Standing Panel ensures:</w:t>
            </w:r>
          </w:p>
          <w:p w14:paraId="5718EB13" w14:textId="77777777" w:rsidR="00F26E61" w:rsidRPr="00F97146" w:rsidRDefault="00F26E61" w:rsidP="00F26E61">
            <w:pPr>
              <w:pStyle w:val="Paragraphedeliste"/>
              <w:numPr>
                <w:ilvl w:val="0"/>
                <w:numId w:val="66"/>
              </w:numPr>
              <w:spacing w:after="0" w:line="276" w:lineRule="auto"/>
              <w:rPr>
                <w:bCs/>
                <w:iCs w:val="0"/>
                <w:sz w:val="18"/>
                <w:szCs w:val="14"/>
              </w:rPr>
            </w:pPr>
            <w:r w:rsidRPr="00F97146">
              <w:rPr>
                <w:bCs/>
                <w:iCs w:val="0"/>
                <w:sz w:val="18"/>
                <w:szCs w:val="14"/>
              </w:rPr>
              <w:t>consistent Union</w:t>
            </w:r>
            <w:r w:rsidRPr="00F97146">
              <w:rPr>
                <w:rFonts w:ascii="Cambria Math" w:hAnsi="Cambria Math" w:cs="Cambria Math"/>
                <w:bCs/>
                <w:iCs w:val="0"/>
                <w:sz w:val="18"/>
                <w:szCs w:val="14"/>
              </w:rPr>
              <w:t>‑</w:t>
            </w:r>
            <w:r w:rsidRPr="00F97146">
              <w:rPr>
                <w:bCs/>
                <w:iCs w:val="0"/>
                <w:sz w:val="18"/>
                <w:szCs w:val="14"/>
              </w:rPr>
              <w:t>level interpretation of regulatory status and classification</w:t>
            </w:r>
          </w:p>
          <w:p w14:paraId="71FF2A3D" w14:textId="77777777" w:rsidR="00F26E61" w:rsidRPr="00F97146" w:rsidRDefault="00F26E61" w:rsidP="00F26E61">
            <w:pPr>
              <w:pStyle w:val="Paragraphedeliste"/>
              <w:numPr>
                <w:ilvl w:val="0"/>
                <w:numId w:val="66"/>
              </w:numPr>
              <w:spacing w:after="0" w:line="276" w:lineRule="auto"/>
              <w:rPr>
                <w:bCs/>
                <w:iCs w:val="0"/>
                <w:sz w:val="18"/>
                <w:szCs w:val="14"/>
              </w:rPr>
            </w:pPr>
            <w:r w:rsidRPr="00F97146">
              <w:rPr>
                <w:bCs/>
                <w:iCs w:val="0"/>
                <w:sz w:val="18"/>
                <w:szCs w:val="14"/>
              </w:rPr>
              <w:t>timely decisions in the strict deadlines under Art</w:t>
            </w:r>
            <w:r w:rsidRPr="00F97146">
              <w:rPr>
                <w:rFonts w:ascii="Arial" w:hAnsi="Arial" w:cs="Arial"/>
                <w:bCs/>
                <w:iCs w:val="0"/>
                <w:sz w:val="18"/>
                <w:szCs w:val="14"/>
              </w:rPr>
              <w:t> </w:t>
            </w:r>
            <w:r w:rsidRPr="00F97146">
              <w:rPr>
                <w:bCs/>
                <w:iCs w:val="0"/>
                <w:sz w:val="18"/>
                <w:szCs w:val="14"/>
              </w:rPr>
              <w:t>51b(3) (47b(3) IVDR)</w:t>
            </w:r>
          </w:p>
          <w:p w14:paraId="65046D67" w14:textId="77777777" w:rsidR="00F26E61" w:rsidRPr="00F97146" w:rsidRDefault="00F26E61" w:rsidP="00F26E61">
            <w:pPr>
              <w:pStyle w:val="Paragraphedeliste"/>
              <w:numPr>
                <w:ilvl w:val="0"/>
                <w:numId w:val="66"/>
              </w:numPr>
              <w:spacing w:after="0" w:line="276" w:lineRule="auto"/>
              <w:rPr>
                <w:bCs/>
                <w:iCs w:val="0"/>
                <w:sz w:val="18"/>
                <w:szCs w:val="14"/>
              </w:rPr>
            </w:pPr>
            <w:r w:rsidRPr="00F97146">
              <w:rPr>
                <w:bCs/>
                <w:iCs w:val="0"/>
                <w:sz w:val="18"/>
                <w:szCs w:val="14"/>
              </w:rPr>
              <w:lastRenderedPageBreak/>
              <w:t>scientific robustness to support Commission implementing acts</w:t>
            </w:r>
          </w:p>
          <w:p w14:paraId="75E6035F" w14:textId="77777777" w:rsidR="00F26E61" w:rsidRPr="00F97146" w:rsidRDefault="00F26E61" w:rsidP="00F26E61">
            <w:pPr>
              <w:pStyle w:val="Paragraphedeliste"/>
              <w:numPr>
                <w:ilvl w:val="0"/>
                <w:numId w:val="66"/>
              </w:numPr>
              <w:spacing w:after="0" w:line="276" w:lineRule="auto"/>
              <w:rPr>
                <w:bCs/>
                <w:iCs w:val="0"/>
                <w:sz w:val="18"/>
                <w:szCs w:val="14"/>
              </w:rPr>
            </w:pPr>
            <w:r w:rsidRPr="00F97146">
              <w:rPr>
                <w:bCs/>
                <w:iCs w:val="0"/>
                <w:sz w:val="18"/>
                <w:szCs w:val="14"/>
              </w:rPr>
              <w:t>coherence between Member State practice, MDCG coordination and Expert Panel advice</w:t>
            </w:r>
          </w:p>
        </w:tc>
        <w:tc>
          <w:tcPr>
            <w:tcW w:w="5528" w:type="dxa"/>
            <w:tcBorders>
              <w:top w:val="single" w:sz="4" w:space="0" w:color="auto"/>
              <w:left w:val="single" w:sz="4" w:space="0" w:color="auto"/>
              <w:bottom w:val="single" w:sz="4" w:space="0" w:color="auto"/>
              <w:right w:val="single" w:sz="4" w:space="0" w:color="auto"/>
            </w:tcBorders>
          </w:tcPr>
          <w:p w14:paraId="141C567D" w14:textId="77777777" w:rsidR="00F26E61" w:rsidRPr="00F97146" w:rsidRDefault="00F26E61" w:rsidP="00407A8E">
            <w:pPr>
              <w:spacing w:line="276" w:lineRule="auto"/>
              <w:rPr>
                <w:bCs/>
                <w:iCs w:val="0"/>
                <w:sz w:val="18"/>
                <w:szCs w:val="14"/>
              </w:rPr>
            </w:pPr>
          </w:p>
        </w:tc>
      </w:tr>
      <w:tr w:rsidR="00F26E61" w:rsidRPr="00F97146" w14:paraId="09EF0502" w14:textId="77777777" w:rsidTr="0022597C">
        <w:tc>
          <w:tcPr>
            <w:tcW w:w="568" w:type="dxa"/>
          </w:tcPr>
          <w:p w14:paraId="0296B084" w14:textId="77777777" w:rsidR="00F26E61" w:rsidRPr="00F97146" w:rsidRDefault="00F26E61" w:rsidP="00407A8E">
            <w:pPr>
              <w:spacing w:line="276" w:lineRule="auto"/>
              <w:ind w:left="-48" w:firstLine="6"/>
              <w:jc w:val="center"/>
              <w:rPr>
                <w:iCs w:val="0"/>
                <w:sz w:val="18"/>
                <w:szCs w:val="14"/>
                <w:lang w:val="en-US"/>
              </w:rPr>
            </w:pPr>
            <w:r w:rsidRPr="00F97146">
              <w:rPr>
                <w:iCs w:val="0"/>
                <w:sz w:val="18"/>
                <w:szCs w:val="14"/>
                <w:lang w:val="en-US"/>
              </w:rPr>
              <w:lastRenderedPageBreak/>
              <w:t>8</w:t>
            </w:r>
          </w:p>
        </w:tc>
        <w:tc>
          <w:tcPr>
            <w:tcW w:w="1134" w:type="dxa"/>
            <w:tcBorders>
              <w:top w:val="single" w:sz="4" w:space="0" w:color="auto"/>
              <w:left w:val="single" w:sz="4" w:space="0" w:color="auto"/>
              <w:bottom w:val="single" w:sz="4" w:space="0" w:color="auto"/>
              <w:right w:val="single" w:sz="4" w:space="0" w:color="auto"/>
            </w:tcBorders>
          </w:tcPr>
          <w:p w14:paraId="69FE6DAD" w14:textId="77777777" w:rsidR="00F26E61" w:rsidRPr="00F97146" w:rsidRDefault="00F26E61" w:rsidP="00407A8E">
            <w:pPr>
              <w:spacing w:line="276" w:lineRule="auto"/>
              <w:ind w:left="-48" w:firstLine="6"/>
              <w:jc w:val="center"/>
              <w:rPr>
                <w:iCs w:val="0"/>
                <w:sz w:val="18"/>
                <w:szCs w:val="14"/>
                <w:lang w:val="en-US"/>
              </w:rPr>
            </w:pPr>
            <w:r w:rsidRPr="00F97146">
              <w:rPr>
                <w:iCs w:val="0"/>
                <w:sz w:val="18"/>
                <w:szCs w:val="14"/>
                <w:lang w:val="en-US"/>
              </w:rPr>
              <w:t>38, 60, 65, 83, 92, 103, 114, 115</w:t>
            </w:r>
          </w:p>
        </w:tc>
        <w:tc>
          <w:tcPr>
            <w:tcW w:w="1114" w:type="dxa"/>
            <w:tcBorders>
              <w:top w:val="single" w:sz="4" w:space="0" w:color="auto"/>
              <w:left w:val="single" w:sz="4" w:space="0" w:color="auto"/>
              <w:bottom w:val="single" w:sz="4" w:space="0" w:color="auto"/>
              <w:right w:val="single" w:sz="4" w:space="0" w:color="auto"/>
            </w:tcBorders>
          </w:tcPr>
          <w:p w14:paraId="60C268C1" w14:textId="77777777" w:rsidR="00F26E61" w:rsidRPr="00F97146" w:rsidRDefault="00F26E61" w:rsidP="00407A8E">
            <w:pPr>
              <w:spacing w:line="276" w:lineRule="auto"/>
              <w:ind w:left="75"/>
              <w:jc w:val="center"/>
              <w:rPr>
                <w:iCs w:val="0"/>
                <w:sz w:val="18"/>
                <w:szCs w:val="14"/>
                <w:lang w:val="fr-FR"/>
              </w:rPr>
            </w:pPr>
            <w:r w:rsidRPr="00F97146">
              <w:rPr>
                <w:iCs w:val="0"/>
                <w:sz w:val="18"/>
                <w:szCs w:val="14"/>
                <w:lang w:val="fr-FR"/>
              </w:rPr>
              <w:t>MDR: 1</w:t>
            </w:r>
          </w:p>
          <w:p w14:paraId="1D399BF7" w14:textId="77777777" w:rsidR="00F26E61" w:rsidRPr="00F97146" w:rsidRDefault="00F26E61" w:rsidP="00407A8E">
            <w:pPr>
              <w:spacing w:line="276" w:lineRule="auto"/>
              <w:ind w:left="75"/>
              <w:jc w:val="center"/>
              <w:rPr>
                <w:iCs w:val="0"/>
                <w:sz w:val="18"/>
                <w:szCs w:val="14"/>
                <w:lang w:val="fr-FR"/>
              </w:rPr>
            </w:pPr>
            <w:r w:rsidRPr="00F97146">
              <w:rPr>
                <w:iCs w:val="0"/>
                <w:sz w:val="18"/>
                <w:szCs w:val="14"/>
                <w:lang w:val="fr-FR"/>
              </w:rPr>
              <w:t>IVDR: 2</w:t>
            </w:r>
          </w:p>
          <w:p w14:paraId="46212321" w14:textId="77777777" w:rsidR="00F26E61" w:rsidRPr="00F97146" w:rsidRDefault="00F26E61" w:rsidP="00407A8E">
            <w:pPr>
              <w:spacing w:line="276" w:lineRule="auto"/>
              <w:ind w:left="75"/>
              <w:jc w:val="center"/>
              <w:rPr>
                <w:iCs w:val="0"/>
                <w:sz w:val="18"/>
                <w:szCs w:val="14"/>
                <w:lang w:val="fr-FR"/>
              </w:rPr>
            </w:pPr>
          </w:p>
          <w:p w14:paraId="004D7F03" w14:textId="77777777" w:rsidR="00F26E61" w:rsidRPr="00F97146" w:rsidRDefault="00F26E61" w:rsidP="00407A8E">
            <w:pPr>
              <w:spacing w:line="276" w:lineRule="auto"/>
              <w:rPr>
                <w:iCs w:val="0"/>
                <w:sz w:val="18"/>
                <w:szCs w:val="14"/>
                <w:lang w:val="fr-FR"/>
              </w:rPr>
            </w:pPr>
          </w:p>
        </w:tc>
        <w:tc>
          <w:tcPr>
            <w:tcW w:w="1134" w:type="dxa"/>
            <w:tcBorders>
              <w:top w:val="single" w:sz="4" w:space="0" w:color="auto"/>
              <w:left w:val="single" w:sz="4" w:space="0" w:color="auto"/>
              <w:bottom w:val="single" w:sz="4" w:space="0" w:color="auto"/>
              <w:right w:val="single" w:sz="4" w:space="0" w:color="auto"/>
            </w:tcBorders>
          </w:tcPr>
          <w:p w14:paraId="380E3749" w14:textId="77777777" w:rsidR="00F26E61" w:rsidRPr="00F97146" w:rsidRDefault="00F26E61" w:rsidP="00407A8E">
            <w:pPr>
              <w:spacing w:line="276" w:lineRule="auto"/>
              <w:jc w:val="center"/>
              <w:rPr>
                <w:iCs w:val="0"/>
                <w:sz w:val="18"/>
                <w:szCs w:val="14"/>
                <w:lang w:val="en-US"/>
              </w:rPr>
            </w:pPr>
            <w:r w:rsidRPr="00F97146">
              <w:rPr>
                <w:iCs w:val="0"/>
                <w:sz w:val="18"/>
                <w:szCs w:val="14"/>
                <w:lang w:val="en-US"/>
              </w:rPr>
              <w:t>MDR: 4, 42, 46, 86</w:t>
            </w:r>
          </w:p>
          <w:p w14:paraId="146BB0E8" w14:textId="77777777" w:rsidR="00F26E61" w:rsidRPr="00F97146" w:rsidRDefault="00F26E61" w:rsidP="00407A8E">
            <w:pPr>
              <w:spacing w:line="276" w:lineRule="auto"/>
              <w:jc w:val="center"/>
              <w:rPr>
                <w:iCs w:val="0"/>
                <w:sz w:val="18"/>
                <w:szCs w:val="14"/>
                <w:lang w:val="en-US"/>
              </w:rPr>
            </w:pPr>
            <w:r w:rsidRPr="00F97146">
              <w:rPr>
                <w:iCs w:val="0"/>
                <w:sz w:val="18"/>
                <w:szCs w:val="14"/>
                <w:lang w:val="en-US"/>
              </w:rPr>
              <w:t>IVDR: 4, 28, 38, 39</w:t>
            </w:r>
          </w:p>
        </w:tc>
        <w:tc>
          <w:tcPr>
            <w:tcW w:w="1134" w:type="dxa"/>
            <w:tcBorders>
              <w:top w:val="single" w:sz="4" w:space="0" w:color="auto"/>
              <w:left w:val="single" w:sz="4" w:space="0" w:color="auto"/>
              <w:bottom w:val="single" w:sz="4" w:space="0" w:color="auto"/>
              <w:right w:val="single" w:sz="4" w:space="0" w:color="auto"/>
            </w:tcBorders>
          </w:tcPr>
          <w:p w14:paraId="026E7DCA" w14:textId="77777777" w:rsidR="00F26E61" w:rsidRPr="00F97146" w:rsidRDefault="00F26E61" w:rsidP="00407A8E">
            <w:pPr>
              <w:spacing w:line="276" w:lineRule="auto"/>
              <w:ind w:left="14"/>
              <w:jc w:val="center"/>
              <w:rPr>
                <w:iCs w:val="0"/>
                <w:sz w:val="18"/>
                <w:szCs w:val="14"/>
                <w:lang w:val="en-US"/>
              </w:rPr>
            </w:pPr>
          </w:p>
        </w:tc>
        <w:tc>
          <w:tcPr>
            <w:tcW w:w="4840" w:type="dxa"/>
            <w:tcBorders>
              <w:top w:val="single" w:sz="4" w:space="0" w:color="auto"/>
              <w:left w:val="single" w:sz="4" w:space="0" w:color="auto"/>
              <w:bottom w:val="single" w:sz="4" w:space="0" w:color="auto"/>
              <w:right w:val="single" w:sz="4" w:space="0" w:color="auto"/>
            </w:tcBorders>
          </w:tcPr>
          <w:p w14:paraId="63DC6920" w14:textId="77777777" w:rsidR="00F26E61" w:rsidRPr="00F97146" w:rsidRDefault="00F26E61" w:rsidP="00407A8E">
            <w:pPr>
              <w:spacing w:line="276" w:lineRule="auto"/>
              <w:rPr>
                <w:bCs/>
                <w:iCs w:val="0"/>
                <w:sz w:val="18"/>
                <w:szCs w:val="14"/>
              </w:rPr>
            </w:pPr>
          </w:p>
        </w:tc>
        <w:tc>
          <w:tcPr>
            <w:tcW w:w="5528" w:type="dxa"/>
            <w:tcBorders>
              <w:top w:val="single" w:sz="4" w:space="0" w:color="auto"/>
              <w:left w:val="single" w:sz="4" w:space="0" w:color="auto"/>
              <w:bottom w:val="single" w:sz="4" w:space="0" w:color="auto"/>
              <w:right w:val="single" w:sz="4" w:space="0" w:color="auto"/>
            </w:tcBorders>
          </w:tcPr>
          <w:p w14:paraId="19B9DA0E" w14:textId="77777777" w:rsidR="00F26E61" w:rsidRPr="00F97146" w:rsidRDefault="00F26E61" w:rsidP="00407A8E">
            <w:pPr>
              <w:spacing w:line="276" w:lineRule="auto"/>
              <w:rPr>
                <w:bCs/>
                <w:iCs w:val="0"/>
                <w:sz w:val="18"/>
                <w:szCs w:val="14"/>
              </w:rPr>
            </w:pPr>
            <w:r w:rsidRPr="00F97146">
              <w:rPr>
                <w:bCs/>
                <w:iCs w:val="0"/>
                <w:sz w:val="18"/>
                <w:szCs w:val="14"/>
              </w:rPr>
              <w:t>A Coherent procedural interface between NBs and Expert Panels including: secure and structured channels for exchange between NB experts and Expert Panels; pre</w:t>
            </w:r>
            <w:r w:rsidRPr="00F97146">
              <w:rPr>
                <w:rFonts w:ascii="Cambria Math" w:hAnsi="Cambria Math" w:cs="Cambria Math"/>
                <w:bCs/>
                <w:iCs w:val="0"/>
                <w:sz w:val="18"/>
                <w:szCs w:val="14"/>
              </w:rPr>
              <w:t>‑</w:t>
            </w:r>
            <w:r w:rsidRPr="00F97146">
              <w:rPr>
                <w:bCs/>
                <w:iCs w:val="0"/>
                <w:sz w:val="18"/>
                <w:szCs w:val="14"/>
              </w:rPr>
              <w:t>opinion procedural dialogue mechanism and supported structured follow-up on Expert Panel opinions for CECP; alignment of timelines and document formats; routing of NB questions to Expert Panel</w:t>
            </w:r>
          </w:p>
        </w:tc>
      </w:tr>
      <w:tr w:rsidR="00F26E61" w:rsidRPr="00F97146" w14:paraId="22749CC1" w14:textId="77777777" w:rsidTr="0022597C">
        <w:tc>
          <w:tcPr>
            <w:tcW w:w="568" w:type="dxa"/>
          </w:tcPr>
          <w:p w14:paraId="319FE0DD" w14:textId="77777777" w:rsidR="00F26E61" w:rsidRPr="00F97146" w:rsidRDefault="00F26E61" w:rsidP="00407A8E">
            <w:pPr>
              <w:spacing w:line="276" w:lineRule="auto"/>
              <w:ind w:left="-48" w:firstLine="6"/>
              <w:jc w:val="center"/>
              <w:rPr>
                <w:rFonts w:eastAsia="Segoe UI" w:cs="Segoe UI"/>
                <w:iCs w:val="0"/>
                <w:sz w:val="18"/>
                <w:szCs w:val="14"/>
              </w:rPr>
            </w:pPr>
            <w:r w:rsidRPr="00F97146">
              <w:rPr>
                <w:rFonts w:eastAsia="Segoe UI" w:cs="Segoe UI"/>
                <w:iCs w:val="0"/>
                <w:sz w:val="18"/>
                <w:szCs w:val="14"/>
              </w:rPr>
              <w:t>9</w:t>
            </w:r>
          </w:p>
        </w:tc>
        <w:tc>
          <w:tcPr>
            <w:tcW w:w="1134" w:type="dxa"/>
            <w:tcBorders>
              <w:top w:val="single" w:sz="4" w:space="0" w:color="auto"/>
              <w:left w:val="single" w:sz="4" w:space="0" w:color="auto"/>
              <w:bottom w:val="single" w:sz="4" w:space="0" w:color="auto"/>
              <w:right w:val="single" w:sz="4" w:space="0" w:color="auto"/>
            </w:tcBorders>
          </w:tcPr>
          <w:p w14:paraId="5D824E88" w14:textId="77777777" w:rsidR="00F26E61" w:rsidRPr="00F97146" w:rsidRDefault="00F26E61" w:rsidP="00407A8E">
            <w:pPr>
              <w:spacing w:line="276" w:lineRule="auto"/>
              <w:ind w:left="-48" w:firstLine="6"/>
              <w:jc w:val="center"/>
              <w:rPr>
                <w:rFonts w:eastAsia="Segoe UI" w:cs="Segoe UI"/>
                <w:iCs w:val="0"/>
                <w:sz w:val="18"/>
                <w:szCs w:val="14"/>
              </w:rPr>
            </w:pPr>
            <w:r w:rsidRPr="00F97146">
              <w:rPr>
                <w:rFonts w:eastAsia="Segoe UI" w:cs="Segoe UI"/>
                <w:iCs w:val="0"/>
                <w:sz w:val="18"/>
                <w:szCs w:val="14"/>
              </w:rPr>
              <w:t>41</w:t>
            </w:r>
          </w:p>
        </w:tc>
        <w:tc>
          <w:tcPr>
            <w:tcW w:w="1114" w:type="dxa"/>
            <w:tcBorders>
              <w:top w:val="single" w:sz="4" w:space="0" w:color="auto"/>
              <w:left w:val="single" w:sz="4" w:space="0" w:color="auto"/>
              <w:bottom w:val="single" w:sz="4" w:space="0" w:color="auto"/>
              <w:right w:val="single" w:sz="4" w:space="0" w:color="auto"/>
            </w:tcBorders>
          </w:tcPr>
          <w:p w14:paraId="6B0BA5D9" w14:textId="77777777" w:rsidR="00F26E61" w:rsidRPr="00F97146" w:rsidRDefault="00F26E61" w:rsidP="00407A8E">
            <w:pPr>
              <w:spacing w:line="276" w:lineRule="auto"/>
              <w:jc w:val="center"/>
              <w:rPr>
                <w:rFonts w:eastAsia="Segoe UI" w:cs="Segoe UI"/>
                <w:iCs w:val="0"/>
                <w:sz w:val="18"/>
                <w:szCs w:val="14"/>
              </w:rPr>
            </w:pPr>
            <w:r w:rsidRPr="00F97146">
              <w:rPr>
                <w:iCs w:val="0"/>
                <w:sz w:val="18"/>
                <w:szCs w:val="14"/>
                <w:lang w:val="fr-FR"/>
              </w:rPr>
              <w:t xml:space="preserve">1 </w:t>
            </w:r>
          </w:p>
        </w:tc>
        <w:tc>
          <w:tcPr>
            <w:tcW w:w="1134" w:type="dxa"/>
            <w:tcBorders>
              <w:top w:val="single" w:sz="4" w:space="0" w:color="auto"/>
              <w:left w:val="single" w:sz="4" w:space="0" w:color="auto"/>
              <w:bottom w:val="single" w:sz="4" w:space="0" w:color="auto"/>
              <w:right w:val="single" w:sz="4" w:space="0" w:color="auto"/>
            </w:tcBorders>
          </w:tcPr>
          <w:p w14:paraId="38E66BFF" w14:textId="77777777" w:rsidR="00F26E61" w:rsidRPr="00F97146" w:rsidRDefault="00F26E61" w:rsidP="00407A8E">
            <w:pPr>
              <w:spacing w:line="276" w:lineRule="auto"/>
              <w:jc w:val="center"/>
              <w:rPr>
                <w:rFonts w:eastAsia="Segoe UI" w:cs="Segoe UI"/>
                <w:iCs w:val="0"/>
                <w:sz w:val="18"/>
                <w:szCs w:val="14"/>
              </w:rPr>
            </w:pPr>
            <w:r w:rsidRPr="00F97146">
              <w:rPr>
                <w:rFonts w:eastAsia="Segoe UI" w:cs="Segoe UI"/>
                <w:iCs w:val="0"/>
                <w:sz w:val="18"/>
                <w:szCs w:val="14"/>
              </w:rPr>
              <w:t>9</w:t>
            </w:r>
          </w:p>
          <w:p w14:paraId="7AC9DA58" w14:textId="77777777" w:rsidR="00F26E61" w:rsidRPr="00F97146" w:rsidRDefault="00F26E61" w:rsidP="00407A8E">
            <w:pPr>
              <w:spacing w:line="276" w:lineRule="auto"/>
              <w:jc w:val="center"/>
              <w:rPr>
                <w:rFonts w:eastAsia="Segoe UI" w:cs="Segoe UI"/>
                <w:iCs w:val="0"/>
                <w:sz w:val="18"/>
                <w:szCs w:val="14"/>
                <w:highlight w:val="yellow"/>
              </w:rPr>
            </w:pPr>
          </w:p>
          <w:p w14:paraId="2CCA5177" w14:textId="77777777" w:rsidR="00F26E61" w:rsidRPr="00F97146" w:rsidRDefault="00F26E61" w:rsidP="00407A8E">
            <w:pPr>
              <w:spacing w:line="276" w:lineRule="auto"/>
              <w:jc w:val="center"/>
              <w:rPr>
                <w:rFonts w:eastAsia="Segoe UI" w:cs="Segoe UI"/>
                <w:iCs w:val="0"/>
                <w:sz w:val="18"/>
                <w:szCs w:val="14"/>
              </w:rPr>
            </w:pPr>
          </w:p>
        </w:tc>
        <w:tc>
          <w:tcPr>
            <w:tcW w:w="1134" w:type="dxa"/>
            <w:tcBorders>
              <w:top w:val="single" w:sz="4" w:space="0" w:color="auto"/>
              <w:left w:val="single" w:sz="4" w:space="0" w:color="auto"/>
              <w:bottom w:val="single" w:sz="4" w:space="0" w:color="auto"/>
              <w:right w:val="single" w:sz="4" w:space="0" w:color="auto"/>
            </w:tcBorders>
          </w:tcPr>
          <w:p w14:paraId="68A4007E" w14:textId="77777777" w:rsidR="00F26E61" w:rsidRPr="00F97146" w:rsidRDefault="00F26E61" w:rsidP="00407A8E">
            <w:pPr>
              <w:spacing w:line="276" w:lineRule="auto"/>
              <w:ind w:left="14"/>
              <w:jc w:val="center"/>
              <w:rPr>
                <w:b/>
                <w:iCs w:val="0"/>
                <w:sz w:val="18"/>
                <w:szCs w:val="14"/>
              </w:rPr>
            </w:pPr>
          </w:p>
        </w:tc>
        <w:tc>
          <w:tcPr>
            <w:tcW w:w="4840" w:type="dxa"/>
            <w:tcBorders>
              <w:top w:val="single" w:sz="4" w:space="0" w:color="auto"/>
              <w:left w:val="single" w:sz="4" w:space="0" w:color="auto"/>
              <w:bottom w:val="single" w:sz="4" w:space="0" w:color="auto"/>
              <w:right w:val="single" w:sz="4" w:space="0" w:color="auto"/>
            </w:tcBorders>
          </w:tcPr>
          <w:p w14:paraId="76B3DFCD" w14:textId="77777777" w:rsidR="00F26E61" w:rsidRPr="00F97146" w:rsidRDefault="00F26E61" w:rsidP="00407A8E">
            <w:pPr>
              <w:spacing w:line="276" w:lineRule="auto"/>
              <w:rPr>
                <w:rFonts w:eastAsia="Segoe UI" w:cs="Segoe UI"/>
                <w:iCs w:val="0"/>
                <w:sz w:val="18"/>
                <w:szCs w:val="14"/>
              </w:rPr>
            </w:pPr>
            <w:r w:rsidRPr="00F97146">
              <w:rPr>
                <w:rFonts w:eastAsia="Segoe UI" w:cs="Segoe UI"/>
                <w:iCs w:val="0"/>
                <w:sz w:val="18"/>
                <w:szCs w:val="14"/>
              </w:rPr>
              <w:t xml:space="preserve">The original MDR Art 10(9)/IVDR Art 10(8) provided a clear, standardized reference for QMS components—from risk management to CAPA and post-market surveillance—ensuring consistency across manufacturers reflecting relevance to EN ISO 13485 clause and subclauses. </w:t>
            </w:r>
          </w:p>
          <w:p w14:paraId="6D9DA93D" w14:textId="77777777" w:rsidR="00F26E61" w:rsidRPr="00F97146" w:rsidRDefault="00F26E61" w:rsidP="00407A8E">
            <w:pPr>
              <w:spacing w:line="276" w:lineRule="auto"/>
              <w:rPr>
                <w:rFonts w:eastAsia="Segoe UI" w:cs="Segoe UI"/>
                <w:iCs w:val="0"/>
                <w:sz w:val="18"/>
                <w:szCs w:val="14"/>
              </w:rPr>
            </w:pPr>
          </w:p>
          <w:p w14:paraId="54728D68" w14:textId="77777777" w:rsidR="00F26E61" w:rsidRPr="00F97146" w:rsidRDefault="00F26E61" w:rsidP="00407A8E">
            <w:pPr>
              <w:spacing w:line="276" w:lineRule="auto"/>
              <w:rPr>
                <w:rFonts w:eastAsia="Segoe UI" w:cs="Segoe UI"/>
                <w:iCs w:val="0"/>
                <w:sz w:val="18"/>
                <w:szCs w:val="14"/>
              </w:rPr>
            </w:pPr>
            <w:r w:rsidRPr="00F97146">
              <w:rPr>
                <w:rFonts w:eastAsia="Segoe UI" w:cs="Segoe UI"/>
                <w:iCs w:val="0"/>
                <w:sz w:val="18"/>
                <w:szCs w:val="14"/>
              </w:rPr>
              <w:t>Removing it creates ambiguity and increases interpretive variability among stakeholders involved in conformity assessment, potentially leading to inconsistent audit outcomes. The IVDR Art 10(8) third subparagraph fills the gaps which are not covered by ISO 13485 for certain elements such as UDI registration, Regulatory strategy, PMS etc. This could lead to de-harmonisation with MDSAP that could result in future misalignment.</w:t>
            </w:r>
          </w:p>
        </w:tc>
        <w:tc>
          <w:tcPr>
            <w:tcW w:w="5528" w:type="dxa"/>
            <w:tcBorders>
              <w:top w:val="single" w:sz="4" w:space="0" w:color="auto"/>
              <w:left w:val="single" w:sz="4" w:space="0" w:color="auto"/>
              <w:bottom w:val="single" w:sz="4" w:space="0" w:color="auto"/>
              <w:right w:val="single" w:sz="4" w:space="0" w:color="auto"/>
            </w:tcBorders>
          </w:tcPr>
          <w:p w14:paraId="49A7BF8C" w14:textId="77777777" w:rsidR="00F26E61" w:rsidRPr="00F97146" w:rsidRDefault="00F26E61" w:rsidP="00407A8E">
            <w:pPr>
              <w:spacing w:line="276" w:lineRule="auto"/>
              <w:rPr>
                <w:rFonts w:eastAsia="Segoe UI" w:cs="Segoe UI"/>
                <w:iCs w:val="0"/>
                <w:sz w:val="18"/>
                <w:szCs w:val="14"/>
              </w:rPr>
            </w:pPr>
            <w:r w:rsidRPr="00F97146">
              <w:rPr>
                <w:rFonts w:eastAsia="Segoe UI" w:cs="Segoe UI"/>
                <w:iCs w:val="0"/>
                <w:sz w:val="18"/>
                <w:szCs w:val="14"/>
              </w:rPr>
              <w:t>Reinstate existing</w:t>
            </w:r>
            <w:r w:rsidRPr="00F97146">
              <w:rPr>
                <w:rFonts w:eastAsiaTheme="minorEastAsia"/>
                <w:iCs w:val="0"/>
                <w:sz w:val="18"/>
                <w:szCs w:val="14"/>
              </w:rPr>
              <w:t xml:space="preserve"> MDR Art 10(9)/ IVDR Art 10(8) third paragraph.</w:t>
            </w:r>
          </w:p>
          <w:p w14:paraId="436C45DC" w14:textId="77777777" w:rsidR="00F26E61" w:rsidRPr="00F97146" w:rsidRDefault="00F26E61" w:rsidP="00407A8E">
            <w:pPr>
              <w:rPr>
                <w:iCs w:val="0"/>
                <w:sz w:val="18"/>
                <w:szCs w:val="14"/>
              </w:rPr>
            </w:pPr>
          </w:p>
          <w:p w14:paraId="2BC0E742" w14:textId="77777777" w:rsidR="00F26E61" w:rsidRPr="00F97146" w:rsidRDefault="00F26E61" w:rsidP="00407A8E">
            <w:pPr>
              <w:spacing w:before="60"/>
              <w:rPr>
                <w:rFonts w:eastAsia="Segoe UI" w:cs="Segoe UI"/>
                <w:iCs w:val="0"/>
                <w:sz w:val="18"/>
                <w:szCs w:val="14"/>
              </w:rPr>
            </w:pPr>
          </w:p>
        </w:tc>
      </w:tr>
      <w:tr w:rsidR="00F26E61" w:rsidRPr="00F97146" w14:paraId="45378030" w14:textId="77777777" w:rsidTr="0022597C">
        <w:tc>
          <w:tcPr>
            <w:tcW w:w="568" w:type="dxa"/>
          </w:tcPr>
          <w:p w14:paraId="6EAE606B" w14:textId="77777777" w:rsidR="00F26E61" w:rsidRPr="00F97146" w:rsidRDefault="00F26E61" w:rsidP="00407A8E">
            <w:pPr>
              <w:spacing w:line="276" w:lineRule="auto"/>
              <w:ind w:left="-48" w:firstLine="6"/>
              <w:jc w:val="center"/>
              <w:rPr>
                <w:rFonts w:eastAsia="Segoe UI" w:cs="Segoe UI"/>
                <w:iCs w:val="0"/>
                <w:sz w:val="18"/>
                <w:szCs w:val="14"/>
              </w:rPr>
            </w:pPr>
            <w:r w:rsidRPr="00F97146">
              <w:rPr>
                <w:rFonts w:eastAsia="Segoe UI" w:cs="Segoe UI"/>
                <w:iCs w:val="0"/>
                <w:sz w:val="18"/>
                <w:szCs w:val="14"/>
              </w:rPr>
              <w:t>10</w:t>
            </w:r>
          </w:p>
        </w:tc>
        <w:tc>
          <w:tcPr>
            <w:tcW w:w="1134" w:type="dxa"/>
            <w:tcBorders>
              <w:top w:val="single" w:sz="4" w:space="0" w:color="auto"/>
              <w:left w:val="single" w:sz="4" w:space="0" w:color="auto"/>
              <w:bottom w:val="single" w:sz="4" w:space="0" w:color="auto"/>
              <w:right w:val="single" w:sz="4" w:space="0" w:color="auto"/>
            </w:tcBorders>
          </w:tcPr>
          <w:p w14:paraId="32B5CD93" w14:textId="77777777" w:rsidR="00F26E61" w:rsidRPr="00F97146" w:rsidRDefault="00F26E61" w:rsidP="00407A8E">
            <w:pPr>
              <w:spacing w:line="276" w:lineRule="auto"/>
              <w:ind w:left="-48" w:firstLine="6"/>
              <w:jc w:val="center"/>
              <w:rPr>
                <w:bCs/>
                <w:iCs w:val="0"/>
                <w:sz w:val="18"/>
                <w:szCs w:val="14"/>
              </w:rPr>
            </w:pPr>
            <w:r w:rsidRPr="00F97146">
              <w:rPr>
                <w:rFonts w:eastAsia="Segoe UI" w:cs="Segoe UI"/>
                <w:iCs w:val="0"/>
                <w:sz w:val="18"/>
                <w:szCs w:val="14"/>
              </w:rPr>
              <w:t>41</w:t>
            </w:r>
          </w:p>
        </w:tc>
        <w:tc>
          <w:tcPr>
            <w:tcW w:w="1114" w:type="dxa"/>
            <w:tcBorders>
              <w:top w:val="single" w:sz="4" w:space="0" w:color="auto"/>
              <w:left w:val="single" w:sz="4" w:space="0" w:color="auto"/>
              <w:bottom w:val="single" w:sz="4" w:space="0" w:color="auto"/>
              <w:right w:val="single" w:sz="4" w:space="0" w:color="auto"/>
            </w:tcBorders>
          </w:tcPr>
          <w:p w14:paraId="039C5F0A" w14:textId="77777777" w:rsidR="00F26E61" w:rsidRPr="00F97146" w:rsidRDefault="00F26E61" w:rsidP="00407A8E">
            <w:pPr>
              <w:spacing w:line="276" w:lineRule="auto"/>
              <w:jc w:val="center"/>
              <w:rPr>
                <w:rFonts w:eastAsia="Segoe UI" w:cs="Segoe UI"/>
                <w:iCs w:val="0"/>
                <w:sz w:val="18"/>
                <w:szCs w:val="14"/>
              </w:rPr>
            </w:pPr>
            <w:r w:rsidRPr="00F97146">
              <w:rPr>
                <w:iCs w:val="0"/>
                <w:sz w:val="18"/>
                <w:szCs w:val="14"/>
                <w:lang w:val="fr-FR"/>
              </w:rPr>
              <w:t>1</w:t>
            </w:r>
          </w:p>
          <w:p w14:paraId="20F6C5EC" w14:textId="77777777" w:rsidR="00F26E61" w:rsidRPr="00F97146" w:rsidRDefault="00F26E61" w:rsidP="00407A8E">
            <w:pPr>
              <w:jc w:val="center"/>
              <w:rPr>
                <w:rFonts w:eastAsia="Segoe UI" w:cs="Segoe UI"/>
                <w:iCs w:val="0"/>
                <w:sz w:val="18"/>
                <w:szCs w:val="14"/>
              </w:rPr>
            </w:pPr>
          </w:p>
          <w:p w14:paraId="3613A68F" w14:textId="77777777" w:rsidR="00F26E61" w:rsidRPr="00F97146" w:rsidRDefault="00F26E61" w:rsidP="00407A8E">
            <w:pPr>
              <w:spacing w:line="276" w:lineRule="auto"/>
              <w:ind w:left="75"/>
              <w:jc w:val="center"/>
              <w:rPr>
                <w:bCs/>
                <w:iCs w:val="0"/>
                <w:sz w:val="18"/>
                <w:szCs w:val="14"/>
              </w:rPr>
            </w:pPr>
          </w:p>
        </w:tc>
        <w:tc>
          <w:tcPr>
            <w:tcW w:w="1134" w:type="dxa"/>
            <w:tcBorders>
              <w:top w:val="single" w:sz="4" w:space="0" w:color="auto"/>
              <w:left w:val="single" w:sz="4" w:space="0" w:color="auto"/>
              <w:bottom w:val="single" w:sz="4" w:space="0" w:color="auto"/>
              <w:right w:val="single" w:sz="4" w:space="0" w:color="auto"/>
            </w:tcBorders>
          </w:tcPr>
          <w:p w14:paraId="2AE97BCA" w14:textId="77777777" w:rsidR="00F26E61" w:rsidRPr="00F97146" w:rsidRDefault="00F26E61" w:rsidP="00407A8E">
            <w:pPr>
              <w:spacing w:line="276" w:lineRule="auto"/>
              <w:jc w:val="center"/>
              <w:rPr>
                <w:bCs/>
                <w:iCs w:val="0"/>
                <w:sz w:val="18"/>
                <w:szCs w:val="14"/>
              </w:rPr>
            </w:pPr>
            <w:r w:rsidRPr="00F97146">
              <w:rPr>
                <w:bCs/>
                <w:iCs w:val="0"/>
                <w:sz w:val="18"/>
                <w:szCs w:val="14"/>
              </w:rPr>
              <w:t>9</w:t>
            </w:r>
          </w:p>
        </w:tc>
        <w:tc>
          <w:tcPr>
            <w:tcW w:w="1134" w:type="dxa"/>
            <w:tcBorders>
              <w:top w:val="single" w:sz="4" w:space="0" w:color="auto"/>
              <w:left w:val="single" w:sz="4" w:space="0" w:color="auto"/>
              <w:bottom w:val="single" w:sz="4" w:space="0" w:color="auto"/>
              <w:right w:val="single" w:sz="4" w:space="0" w:color="auto"/>
            </w:tcBorders>
          </w:tcPr>
          <w:p w14:paraId="5A3EC4EE" w14:textId="77777777" w:rsidR="00F26E61" w:rsidRPr="00F97146" w:rsidRDefault="00F26E61" w:rsidP="00407A8E">
            <w:pPr>
              <w:spacing w:line="276" w:lineRule="auto"/>
              <w:ind w:left="14"/>
              <w:jc w:val="center"/>
              <w:rPr>
                <w:bCs/>
                <w:iCs w:val="0"/>
                <w:sz w:val="18"/>
                <w:szCs w:val="14"/>
              </w:rPr>
            </w:pPr>
            <w:proofErr w:type="spellStart"/>
            <w:r w:rsidRPr="00F97146">
              <w:rPr>
                <w:bCs/>
                <w:iCs w:val="0"/>
                <w:sz w:val="18"/>
                <w:szCs w:val="14"/>
              </w:rPr>
              <w:t>f,g</w:t>
            </w:r>
            <w:proofErr w:type="spellEnd"/>
          </w:p>
        </w:tc>
        <w:tc>
          <w:tcPr>
            <w:tcW w:w="4840" w:type="dxa"/>
            <w:tcBorders>
              <w:top w:val="single" w:sz="4" w:space="0" w:color="auto"/>
              <w:left w:val="single" w:sz="4" w:space="0" w:color="auto"/>
              <w:bottom w:val="single" w:sz="4" w:space="0" w:color="auto"/>
              <w:right w:val="single" w:sz="4" w:space="0" w:color="auto"/>
            </w:tcBorders>
          </w:tcPr>
          <w:p w14:paraId="3515C26B" w14:textId="77777777" w:rsidR="00F26E61" w:rsidRPr="00F97146" w:rsidRDefault="00F26E61" w:rsidP="00407A8E">
            <w:pPr>
              <w:spacing w:before="60"/>
              <w:rPr>
                <w:iCs w:val="0"/>
                <w:sz w:val="18"/>
                <w:szCs w:val="14"/>
              </w:rPr>
            </w:pPr>
            <w:r w:rsidRPr="00F97146">
              <w:rPr>
                <w:rFonts w:eastAsia="Segoe UI" w:cs="Segoe UI"/>
                <w:iCs w:val="0"/>
                <w:sz w:val="18"/>
                <w:szCs w:val="14"/>
              </w:rPr>
              <w:t xml:space="preserve">Commission proposal: </w:t>
            </w:r>
          </w:p>
          <w:p w14:paraId="1ED04230" w14:textId="77777777" w:rsidR="00F26E61" w:rsidRPr="00F97146" w:rsidRDefault="00F26E61" w:rsidP="00407A8E">
            <w:pPr>
              <w:spacing w:before="60"/>
              <w:rPr>
                <w:iCs w:val="0"/>
                <w:sz w:val="18"/>
                <w:szCs w:val="14"/>
              </w:rPr>
            </w:pPr>
            <w:r w:rsidRPr="00F97146">
              <w:rPr>
                <w:rFonts w:eastAsia="Segoe UI" w:cs="Segoe UI"/>
                <w:iCs w:val="0"/>
                <w:sz w:val="18"/>
                <w:szCs w:val="14"/>
              </w:rPr>
              <w:t>“</w:t>
            </w:r>
            <w:r w:rsidRPr="00F97146">
              <w:rPr>
                <w:rFonts w:eastAsia="Segoe UI" w:cs="Segoe UI"/>
                <w:i/>
                <w:sz w:val="18"/>
                <w:szCs w:val="14"/>
              </w:rPr>
              <w:t xml:space="preserve">Where manufacturers have their devices designed and manufactured by another legal or natural person the information on the identity of that person shall be part of the </w:t>
            </w:r>
            <w:r w:rsidRPr="00F97146">
              <w:rPr>
                <w:rFonts w:eastAsia="Segoe UI" w:cs="Segoe UI"/>
                <w:i/>
                <w:sz w:val="18"/>
                <w:szCs w:val="14"/>
              </w:rPr>
              <w:lastRenderedPageBreak/>
              <w:t>information to be submitted in accordance with Art 26(3). In those cases, the manufacturer shall ensure that the relevant parts of the technical documentation are drawn up, kept up to date and, upon request, made available to the competent authorities in accordance with paragraphs 4 and 7 by the legal or natural person that has designed and manufactured the device. In addition, the manufacturer shall draw up, keep up to date and, upon request, make available to the competent authorities the remaining parts of the technical documentation, in particular those referred to in Section 2 of Annex II and in Annex III.</w:t>
            </w:r>
            <w:r w:rsidRPr="00F97146">
              <w:rPr>
                <w:rFonts w:eastAsia="Segoe UI" w:cs="Segoe UI"/>
                <w:iCs w:val="0"/>
                <w:sz w:val="18"/>
                <w:szCs w:val="14"/>
              </w:rPr>
              <w:t>”</w:t>
            </w:r>
          </w:p>
          <w:p w14:paraId="3687F192" w14:textId="77777777" w:rsidR="00F26E61" w:rsidRPr="00F97146" w:rsidRDefault="00F26E61" w:rsidP="00407A8E">
            <w:pPr>
              <w:spacing w:before="60"/>
              <w:rPr>
                <w:iCs w:val="0"/>
                <w:sz w:val="18"/>
                <w:szCs w:val="14"/>
              </w:rPr>
            </w:pPr>
            <w:r w:rsidRPr="00F97146">
              <w:rPr>
                <w:rFonts w:eastAsia="Segoe UI" w:cs="Segoe UI"/>
                <w:iCs w:val="0"/>
                <w:sz w:val="18"/>
                <w:szCs w:val="14"/>
              </w:rPr>
              <w:t>This text makes the OEM (i.e. devices designed and manufactured by another legal entity) responsible for authoring and maintaining parts of documentation, but:</w:t>
            </w:r>
          </w:p>
          <w:p w14:paraId="184B487B" w14:textId="77777777" w:rsidR="00F26E61" w:rsidRPr="00F97146" w:rsidRDefault="00F26E61" w:rsidP="00F26E61">
            <w:pPr>
              <w:pStyle w:val="Paragraphedeliste"/>
              <w:numPr>
                <w:ilvl w:val="0"/>
                <w:numId w:val="81"/>
              </w:numPr>
              <w:spacing w:before="60" w:after="0"/>
              <w:rPr>
                <w:iCs w:val="0"/>
                <w:sz w:val="18"/>
                <w:szCs w:val="14"/>
              </w:rPr>
            </w:pPr>
            <w:r w:rsidRPr="00F97146">
              <w:rPr>
                <w:rFonts w:eastAsia="Segoe UI" w:cs="Segoe UI"/>
                <w:iCs w:val="0"/>
                <w:sz w:val="18"/>
                <w:szCs w:val="14"/>
              </w:rPr>
              <w:t>the legal manufacturer retains full compliance liability</w:t>
            </w:r>
          </w:p>
          <w:p w14:paraId="1B285361" w14:textId="77777777" w:rsidR="00F26E61" w:rsidRPr="00F97146" w:rsidRDefault="00F26E61" w:rsidP="00F26E61">
            <w:pPr>
              <w:pStyle w:val="Paragraphedeliste"/>
              <w:numPr>
                <w:ilvl w:val="0"/>
                <w:numId w:val="81"/>
              </w:numPr>
              <w:spacing w:before="60" w:after="0"/>
              <w:rPr>
                <w:iCs w:val="0"/>
                <w:sz w:val="18"/>
                <w:szCs w:val="14"/>
              </w:rPr>
            </w:pPr>
            <w:r w:rsidRPr="00F97146">
              <w:rPr>
                <w:rFonts w:eastAsia="Segoe UI" w:cs="Segoe UI"/>
                <w:iCs w:val="0"/>
                <w:sz w:val="18"/>
                <w:szCs w:val="14"/>
              </w:rPr>
              <w:t>authorities can request documentation from either party</w:t>
            </w:r>
          </w:p>
          <w:p w14:paraId="751368A8" w14:textId="77777777" w:rsidR="00F26E61" w:rsidRPr="00F97146" w:rsidRDefault="00F26E61" w:rsidP="00F26E61">
            <w:pPr>
              <w:pStyle w:val="Paragraphedeliste"/>
              <w:numPr>
                <w:ilvl w:val="0"/>
                <w:numId w:val="81"/>
              </w:numPr>
              <w:spacing w:before="60" w:after="0"/>
              <w:rPr>
                <w:iCs w:val="0"/>
                <w:sz w:val="18"/>
                <w:szCs w:val="14"/>
              </w:rPr>
            </w:pPr>
            <w:r w:rsidRPr="00F97146">
              <w:rPr>
                <w:rFonts w:eastAsia="Segoe UI" w:cs="Segoe UI"/>
                <w:iCs w:val="0"/>
                <w:sz w:val="18"/>
                <w:szCs w:val="14"/>
              </w:rPr>
              <w:t>contractual enforcement becomes critical but is not addressed</w:t>
            </w:r>
          </w:p>
          <w:p w14:paraId="04A2EC9F" w14:textId="77777777" w:rsidR="00F26E61" w:rsidRPr="00F97146" w:rsidRDefault="00F26E61" w:rsidP="00407A8E">
            <w:pPr>
              <w:spacing w:before="60"/>
              <w:rPr>
                <w:iCs w:val="0"/>
                <w:sz w:val="18"/>
                <w:szCs w:val="14"/>
              </w:rPr>
            </w:pPr>
          </w:p>
          <w:p w14:paraId="795C3F57" w14:textId="77777777" w:rsidR="00F26E61" w:rsidRPr="00F97146" w:rsidRDefault="00F26E61" w:rsidP="00407A8E">
            <w:pPr>
              <w:spacing w:before="60"/>
              <w:rPr>
                <w:iCs w:val="0"/>
                <w:sz w:val="18"/>
                <w:szCs w:val="14"/>
              </w:rPr>
            </w:pPr>
            <w:r w:rsidRPr="00F97146">
              <w:rPr>
                <w:rFonts w:eastAsia="Segoe UI" w:cs="Segoe UI"/>
                <w:iCs w:val="0"/>
                <w:sz w:val="18"/>
                <w:szCs w:val="14"/>
              </w:rPr>
              <w:t>This results in unclear accountability during nonconformities and legal manufacturers having limited control over critical design evidence. From a regulatory drafting perspective, the main problems are:</w:t>
            </w:r>
          </w:p>
          <w:p w14:paraId="62F6D38E" w14:textId="77777777" w:rsidR="00F26E61" w:rsidRPr="00F97146" w:rsidRDefault="00F26E61" w:rsidP="00F26E61">
            <w:pPr>
              <w:pStyle w:val="Paragraphedeliste"/>
              <w:numPr>
                <w:ilvl w:val="0"/>
                <w:numId w:val="82"/>
              </w:numPr>
              <w:spacing w:after="0"/>
              <w:rPr>
                <w:rFonts w:eastAsia="Segoe UI" w:cs="Segoe UI"/>
                <w:iCs w:val="0"/>
                <w:sz w:val="18"/>
                <w:szCs w:val="14"/>
              </w:rPr>
            </w:pPr>
            <w:r w:rsidRPr="00F97146">
              <w:rPr>
                <w:rFonts w:eastAsia="Segoe UI" w:cs="Segoe UI"/>
                <w:iCs w:val="0"/>
                <w:sz w:val="18"/>
                <w:szCs w:val="14"/>
              </w:rPr>
              <w:t>artificial partitioning of Annex II</w:t>
            </w:r>
          </w:p>
          <w:p w14:paraId="321EDE9B" w14:textId="77777777" w:rsidR="00F26E61" w:rsidRPr="00F97146" w:rsidRDefault="00F26E61" w:rsidP="00F26E61">
            <w:pPr>
              <w:pStyle w:val="Paragraphedeliste"/>
              <w:numPr>
                <w:ilvl w:val="0"/>
                <w:numId w:val="82"/>
              </w:numPr>
              <w:spacing w:after="0"/>
              <w:rPr>
                <w:rFonts w:eastAsia="Segoe UI" w:cs="Segoe UI"/>
                <w:iCs w:val="0"/>
                <w:sz w:val="18"/>
                <w:szCs w:val="14"/>
              </w:rPr>
            </w:pPr>
            <w:r w:rsidRPr="00F97146">
              <w:rPr>
                <w:rFonts w:eastAsia="Segoe UI" w:cs="Segoe UI"/>
                <w:iCs w:val="0"/>
                <w:sz w:val="18"/>
                <w:szCs w:val="14"/>
              </w:rPr>
              <w:t>no concept of “documentation system delegation”</w:t>
            </w:r>
          </w:p>
          <w:p w14:paraId="654EA8FD" w14:textId="77777777" w:rsidR="00F26E61" w:rsidRPr="00F97146" w:rsidRDefault="00F26E61" w:rsidP="00F26E61">
            <w:pPr>
              <w:pStyle w:val="Paragraphedeliste"/>
              <w:numPr>
                <w:ilvl w:val="0"/>
                <w:numId w:val="82"/>
              </w:numPr>
              <w:spacing w:after="0"/>
              <w:rPr>
                <w:rFonts w:eastAsia="Segoe UI" w:cs="Segoe UI"/>
                <w:iCs w:val="0"/>
                <w:sz w:val="18"/>
                <w:szCs w:val="14"/>
              </w:rPr>
            </w:pPr>
            <w:r w:rsidRPr="00F97146">
              <w:rPr>
                <w:rFonts w:eastAsia="Segoe UI" w:cs="Segoe UI"/>
                <w:iCs w:val="0"/>
                <w:sz w:val="18"/>
                <w:szCs w:val="14"/>
              </w:rPr>
              <w:t>no explicit alignment with QMS control model; and</w:t>
            </w:r>
          </w:p>
          <w:p w14:paraId="15B5D318" w14:textId="77777777" w:rsidR="00F26E61" w:rsidRPr="00F97146" w:rsidRDefault="00F26E61" w:rsidP="00F26E61">
            <w:pPr>
              <w:pStyle w:val="Paragraphedeliste"/>
              <w:numPr>
                <w:ilvl w:val="0"/>
                <w:numId w:val="82"/>
              </w:numPr>
              <w:spacing w:after="0"/>
              <w:rPr>
                <w:bCs/>
                <w:iCs w:val="0"/>
                <w:sz w:val="18"/>
                <w:szCs w:val="14"/>
              </w:rPr>
            </w:pPr>
            <w:r w:rsidRPr="00F97146">
              <w:rPr>
                <w:rFonts w:eastAsia="Segoe UI" w:cs="Segoe UI"/>
                <w:iCs w:val="0"/>
                <w:sz w:val="18"/>
                <w:szCs w:val="14"/>
              </w:rPr>
              <w:t>no safeguard ensuring legal manufacturer access and oversight</w:t>
            </w:r>
          </w:p>
        </w:tc>
        <w:tc>
          <w:tcPr>
            <w:tcW w:w="5528" w:type="dxa"/>
            <w:tcBorders>
              <w:top w:val="single" w:sz="4" w:space="0" w:color="auto"/>
              <w:left w:val="single" w:sz="4" w:space="0" w:color="auto"/>
              <w:bottom w:val="single" w:sz="4" w:space="0" w:color="auto"/>
              <w:right w:val="single" w:sz="4" w:space="0" w:color="auto"/>
            </w:tcBorders>
          </w:tcPr>
          <w:p w14:paraId="7B7009BF" w14:textId="77777777" w:rsidR="00F26E61" w:rsidRPr="00F97146" w:rsidRDefault="00F26E61" w:rsidP="00407A8E">
            <w:pPr>
              <w:spacing w:before="60"/>
              <w:rPr>
                <w:rFonts w:eastAsia="Segoe UI" w:cs="Segoe UI"/>
                <w:iCs w:val="0"/>
                <w:sz w:val="18"/>
                <w:szCs w:val="14"/>
              </w:rPr>
            </w:pPr>
            <w:r w:rsidRPr="00F97146">
              <w:rPr>
                <w:rFonts w:eastAsia="Segoe UI" w:cs="Segoe UI"/>
                <w:iCs w:val="0"/>
                <w:sz w:val="18"/>
                <w:szCs w:val="14"/>
              </w:rPr>
              <w:lastRenderedPageBreak/>
              <w:t>Team NB proposed text (Art 10(15)):</w:t>
            </w:r>
          </w:p>
          <w:p w14:paraId="1432CFE9" w14:textId="77777777" w:rsidR="00F26E61" w:rsidRPr="00F97146" w:rsidRDefault="00F26E61" w:rsidP="00407A8E">
            <w:pPr>
              <w:rPr>
                <w:i/>
                <w:sz w:val="18"/>
                <w:szCs w:val="14"/>
              </w:rPr>
            </w:pPr>
            <w:r w:rsidRPr="00F97146">
              <w:rPr>
                <w:rFonts w:eastAsia="Segoe UI" w:cs="Segoe UI"/>
                <w:iCs w:val="0"/>
                <w:sz w:val="18"/>
                <w:szCs w:val="14"/>
              </w:rPr>
              <w:t>“</w:t>
            </w:r>
            <w:r w:rsidRPr="00F97146">
              <w:rPr>
                <w:rFonts w:eastAsia="Segoe UI" w:cs="Segoe UI"/>
                <w:i/>
                <w:sz w:val="18"/>
                <w:szCs w:val="14"/>
              </w:rPr>
              <w:t>Where a manufacturer has its device designed and/or manufactured by another legal or natural person, the identity of that person shall form part of the information submitted in accordance with Art 26(3).</w:t>
            </w:r>
          </w:p>
          <w:p w14:paraId="7C5EEA4B" w14:textId="77777777" w:rsidR="00F26E61" w:rsidRPr="00F97146" w:rsidRDefault="00F26E61" w:rsidP="00407A8E">
            <w:pPr>
              <w:rPr>
                <w:i/>
                <w:sz w:val="18"/>
                <w:szCs w:val="14"/>
              </w:rPr>
            </w:pPr>
          </w:p>
          <w:p w14:paraId="604F387A" w14:textId="77777777" w:rsidR="00F26E61" w:rsidRPr="00F97146" w:rsidRDefault="00F26E61" w:rsidP="00407A8E">
            <w:pPr>
              <w:rPr>
                <w:rFonts w:eastAsia="Segoe UI" w:cs="Segoe UI"/>
                <w:i/>
                <w:sz w:val="18"/>
                <w:szCs w:val="14"/>
              </w:rPr>
            </w:pPr>
            <w:r w:rsidRPr="00F97146">
              <w:rPr>
                <w:rFonts w:eastAsia="Segoe UI" w:cs="Segoe UI"/>
                <w:i/>
                <w:sz w:val="18"/>
                <w:szCs w:val="14"/>
              </w:rPr>
              <w:t>The manufacturer shall ensure that a single, coherent set of technical documentation in accordance with Annex II and Annex III is established, maintained, and kept up to date within a controlled documentation system.</w:t>
            </w:r>
          </w:p>
          <w:p w14:paraId="5A369CA0" w14:textId="77777777" w:rsidR="00F26E61" w:rsidRPr="00F97146" w:rsidRDefault="00F26E61" w:rsidP="00407A8E">
            <w:pPr>
              <w:rPr>
                <w:i/>
                <w:sz w:val="18"/>
                <w:szCs w:val="14"/>
              </w:rPr>
            </w:pPr>
          </w:p>
          <w:p w14:paraId="7C238D13" w14:textId="77777777" w:rsidR="00F26E61" w:rsidRPr="00F97146" w:rsidRDefault="00F26E61" w:rsidP="00407A8E">
            <w:pPr>
              <w:spacing w:before="60"/>
              <w:rPr>
                <w:i/>
                <w:sz w:val="18"/>
                <w:szCs w:val="14"/>
              </w:rPr>
            </w:pPr>
            <w:r w:rsidRPr="00F97146">
              <w:rPr>
                <w:rFonts w:eastAsia="Segoe UI" w:cs="Segoe UI"/>
                <w:i/>
                <w:sz w:val="18"/>
                <w:szCs w:val="14"/>
              </w:rPr>
              <w:t>The manufacturer may mandate the legal or natural person that designs and manufactures the device to draw up, update and maintain specified parts or the entirety of the technical documentation on its behalf, provided that:</w:t>
            </w:r>
          </w:p>
          <w:p w14:paraId="7AE801C4" w14:textId="77777777" w:rsidR="00F26E61" w:rsidRPr="00F97146" w:rsidRDefault="00F26E61" w:rsidP="00F26E61">
            <w:pPr>
              <w:pStyle w:val="Paragraphedeliste"/>
              <w:numPr>
                <w:ilvl w:val="1"/>
                <w:numId w:val="83"/>
              </w:numPr>
              <w:spacing w:before="60" w:after="0"/>
              <w:rPr>
                <w:i/>
                <w:sz w:val="18"/>
                <w:szCs w:val="14"/>
              </w:rPr>
            </w:pPr>
            <w:r w:rsidRPr="00F97146">
              <w:rPr>
                <w:rFonts w:eastAsia="Segoe UI" w:cs="Segoe UI"/>
                <w:i/>
                <w:sz w:val="18"/>
                <w:szCs w:val="14"/>
              </w:rPr>
              <w:t>the manufacturer retains full responsibility for conformity with this Regulation</w:t>
            </w:r>
          </w:p>
          <w:p w14:paraId="3198C3C0" w14:textId="77777777" w:rsidR="00F26E61" w:rsidRPr="00F97146" w:rsidRDefault="00F26E61" w:rsidP="00F26E61">
            <w:pPr>
              <w:pStyle w:val="Paragraphedeliste"/>
              <w:numPr>
                <w:ilvl w:val="1"/>
                <w:numId w:val="83"/>
              </w:numPr>
              <w:spacing w:before="60" w:after="0"/>
              <w:rPr>
                <w:i/>
                <w:sz w:val="18"/>
                <w:szCs w:val="14"/>
              </w:rPr>
            </w:pPr>
            <w:r w:rsidRPr="00F97146">
              <w:rPr>
                <w:rFonts w:eastAsia="Segoe UI" w:cs="Segoe UI"/>
                <w:i/>
                <w:sz w:val="18"/>
                <w:szCs w:val="14"/>
              </w:rPr>
              <w:t>the arrangements are governed by a written agreement defining responsibilities, access rights, change control, and regulatory availability, and</w:t>
            </w:r>
          </w:p>
          <w:p w14:paraId="4C9A66DB" w14:textId="77777777" w:rsidR="00F26E61" w:rsidRPr="00F97146" w:rsidRDefault="00F26E61" w:rsidP="00F26E61">
            <w:pPr>
              <w:pStyle w:val="Paragraphedeliste"/>
              <w:numPr>
                <w:ilvl w:val="1"/>
                <w:numId w:val="83"/>
              </w:numPr>
              <w:spacing w:before="60" w:after="0"/>
              <w:rPr>
                <w:i/>
                <w:sz w:val="18"/>
                <w:szCs w:val="14"/>
              </w:rPr>
            </w:pPr>
            <w:r w:rsidRPr="00F97146">
              <w:rPr>
                <w:rFonts w:eastAsia="Segoe UI" w:cs="Segoe UI"/>
                <w:i/>
                <w:sz w:val="18"/>
                <w:szCs w:val="14"/>
              </w:rPr>
              <w:t>the manufacturer ensures continuous access to and oversight of the technical documentation.</w:t>
            </w:r>
          </w:p>
          <w:p w14:paraId="5A68ABAF" w14:textId="77777777" w:rsidR="00F26E61" w:rsidRPr="00F97146" w:rsidRDefault="00F26E61" w:rsidP="00407A8E">
            <w:pPr>
              <w:spacing w:before="60"/>
              <w:rPr>
                <w:i/>
                <w:sz w:val="18"/>
                <w:szCs w:val="14"/>
              </w:rPr>
            </w:pPr>
          </w:p>
          <w:p w14:paraId="7C8F4764" w14:textId="77777777" w:rsidR="00F26E61" w:rsidRPr="00F97146" w:rsidRDefault="00F26E61" w:rsidP="00407A8E">
            <w:pPr>
              <w:spacing w:line="276" w:lineRule="auto"/>
              <w:rPr>
                <w:iCs w:val="0"/>
                <w:sz w:val="18"/>
                <w:szCs w:val="14"/>
              </w:rPr>
            </w:pPr>
            <w:r w:rsidRPr="00F97146">
              <w:rPr>
                <w:rFonts w:eastAsia="Segoe UI" w:cs="Segoe UI"/>
                <w:i/>
                <w:sz w:val="18"/>
                <w:szCs w:val="14"/>
              </w:rPr>
              <w:t>Upon request, the manufacturer shall ensure that the complete technical documentation is made available to the competent authorities, and if applicable to the Notified Body, within the timelines specified in paragraphs 4 and 7, irrespective of where or by whom the documentation is maintained</w:t>
            </w:r>
            <w:r w:rsidRPr="00F97146">
              <w:rPr>
                <w:rFonts w:eastAsia="Segoe UI" w:cs="Segoe UI"/>
                <w:iCs w:val="0"/>
                <w:sz w:val="18"/>
                <w:szCs w:val="14"/>
              </w:rPr>
              <w:t>.”</w:t>
            </w:r>
          </w:p>
          <w:p w14:paraId="1FB2B9F9" w14:textId="77777777" w:rsidR="00F26E61" w:rsidRPr="00F97146" w:rsidRDefault="00F26E61" w:rsidP="00407A8E">
            <w:pPr>
              <w:rPr>
                <w:iCs w:val="0"/>
                <w:sz w:val="18"/>
                <w:szCs w:val="14"/>
              </w:rPr>
            </w:pPr>
          </w:p>
          <w:p w14:paraId="269535A3" w14:textId="77777777" w:rsidR="00F26E61" w:rsidRPr="00F97146" w:rsidRDefault="00F26E61" w:rsidP="00407A8E">
            <w:pPr>
              <w:spacing w:line="276" w:lineRule="auto"/>
              <w:ind w:left="25"/>
              <w:rPr>
                <w:bCs/>
                <w:iCs w:val="0"/>
                <w:sz w:val="18"/>
                <w:szCs w:val="14"/>
              </w:rPr>
            </w:pPr>
          </w:p>
        </w:tc>
      </w:tr>
      <w:tr w:rsidR="00F26E61" w:rsidRPr="00F97146" w14:paraId="5186E475" w14:textId="77777777" w:rsidTr="0022597C">
        <w:tc>
          <w:tcPr>
            <w:tcW w:w="568" w:type="dxa"/>
          </w:tcPr>
          <w:p w14:paraId="7D3D8055" w14:textId="77777777" w:rsidR="00F26E61" w:rsidRPr="00F97146" w:rsidRDefault="00F26E61" w:rsidP="00407A8E">
            <w:pPr>
              <w:spacing w:before="60"/>
              <w:jc w:val="center"/>
              <w:rPr>
                <w:rFonts w:cs="Segoe UI"/>
                <w:bCs/>
                <w:iCs w:val="0"/>
                <w:sz w:val="18"/>
                <w:szCs w:val="14"/>
              </w:rPr>
            </w:pPr>
            <w:r w:rsidRPr="00F97146">
              <w:rPr>
                <w:rFonts w:cs="Segoe UI"/>
                <w:bCs/>
                <w:iCs w:val="0"/>
                <w:sz w:val="18"/>
                <w:szCs w:val="14"/>
              </w:rPr>
              <w:lastRenderedPageBreak/>
              <w:t>11</w:t>
            </w:r>
          </w:p>
        </w:tc>
        <w:tc>
          <w:tcPr>
            <w:tcW w:w="1134" w:type="dxa"/>
            <w:tcBorders>
              <w:top w:val="single" w:sz="4" w:space="0" w:color="auto"/>
              <w:left w:val="single" w:sz="4" w:space="0" w:color="auto"/>
              <w:bottom w:val="single" w:sz="4" w:space="0" w:color="auto"/>
              <w:right w:val="single" w:sz="4" w:space="0" w:color="auto"/>
            </w:tcBorders>
          </w:tcPr>
          <w:p w14:paraId="3B714759" w14:textId="77777777" w:rsidR="00F26E61" w:rsidRPr="00F97146" w:rsidRDefault="00F26E61" w:rsidP="00407A8E">
            <w:pPr>
              <w:spacing w:before="60"/>
              <w:jc w:val="center"/>
              <w:rPr>
                <w:rFonts w:eastAsia="Segoe UI" w:cs="Segoe UI"/>
                <w:iCs w:val="0"/>
                <w:sz w:val="18"/>
                <w:szCs w:val="14"/>
              </w:rPr>
            </w:pPr>
            <w:r w:rsidRPr="00F97146">
              <w:rPr>
                <w:rFonts w:cs="Segoe UI"/>
                <w:bCs/>
                <w:iCs w:val="0"/>
                <w:sz w:val="18"/>
                <w:szCs w:val="14"/>
              </w:rPr>
              <w:t>42</w:t>
            </w:r>
          </w:p>
        </w:tc>
        <w:tc>
          <w:tcPr>
            <w:tcW w:w="1114" w:type="dxa"/>
            <w:tcBorders>
              <w:top w:val="single" w:sz="4" w:space="0" w:color="auto"/>
              <w:left w:val="single" w:sz="4" w:space="0" w:color="auto"/>
              <w:bottom w:val="single" w:sz="4" w:space="0" w:color="auto"/>
              <w:right w:val="single" w:sz="4" w:space="0" w:color="auto"/>
            </w:tcBorders>
          </w:tcPr>
          <w:p w14:paraId="03CAEE96" w14:textId="77777777" w:rsidR="00F26E61" w:rsidRPr="00F97146" w:rsidRDefault="00F26E61" w:rsidP="00407A8E">
            <w:pPr>
              <w:spacing w:line="276" w:lineRule="auto"/>
              <w:ind w:left="75"/>
              <w:jc w:val="center"/>
              <w:rPr>
                <w:rFonts w:eastAsia="Segoe UI" w:cs="Segoe UI"/>
                <w:iCs w:val="0"/>
                <w:sz w:val="18"/>
                <w:szCs w:val="14"/>
              </w:rPr>
            </w:pPr>
            <w:r w:rsidRPr="00F97146">
              <w:rPr>
                <w:iCs w:val="0"/>
                <w:sz w:val="18"/>
                <w:szCs w:val="14"/>
                <w:lang w:val="fr-FR"/>
              </w:rPr>
              <w:t>1</w:t>
            </w:r>
          </w:p>
        </w:tc>
        <w:tc>
          <w:tcPr>
            <w:tcW w:w="1134" w:type="dxa"/>
            <w:tcBorders>
              <w:top w:val="single" w:sz="4" w:space="0" w:color="auto"/>
              <w:left w:val="single" w:sz="4" w:space="0" w:color="auto"/>
              <w:bottom w:val="single" w:sz="4" w:space="0" w:color="auto"/>
              <w:right w:val="single" w:sz="4" w:space="0" w:color="auto"/>
            </w:tcBorders>
          </w:tcPr>
          <w:p w14:paraId="1B2FAE63" w14:textId="77777777" w:rsidR="00F26E61" w:rsidRPr="00F97146" w:rsidRDefault="00F26E61" w:rsidP="00407A8E">
            <w:pPr>
              <w:spacing w:line="276" w:lineRule="auto"/>
              <w:jc w:val="center"/>
              <w:rPr>
                <w:bCs/>
                <w:iCs w:val="0"/>
                <w:sz w:val="18"/>
                <w:szCs w:val="14"/>
              </w:rPr>
            </w:pPr>
            <w:r w:rsidRPr="00F97146">
              <w:rPr>
                <w:rFonts w:cs="Segoe UI"/>
                <w:bCs/>
                <w:iCs w:val="0"/>
                <w:sz w:val="18"/>
                <w:szCs w:val="14"/>
              </w:rPr>
              <w:t>9</w:t>
            </w:r>
          </w:p>
        </w:tc>
        <w:tc>
          <w:tcPr>
            <w:tcW w:w="1134" w:type="dxa"/>
            <w:tcBorders>
              <w:top w:val="single" w:sz="4" w:space="0" w:color="auto"/>
              <w:left w:val="single" w:sz="4" w:space="0" w:color="auto"/>
              <w:bottom w:val="single" w:sz="4" w:space="0" w:color="auto"/>
              <w:right w:val="single" w:sz="4" w:space="0" w:color="auto"/>
            </w:tcBorders>
          </w:tcPr>
          <w:p w14:paraId="0F41C0CB" w14:textId="77777777" w:rsidR="00F26E61" w:rsidRPr="00F97146" w:rsidRDefault="00F26E61" w:rsidP="00407A8E">
            <w:pPr>
              <w:spacing w:line="276" w:lineRule="auto"/>
              <w:ind w:left="14"/>
              <w:jc w:val="center"/>
              <w:rPr>
                <w:rFonts w:eastAsia="Segoe UI" w:cs="Segoe UI"/>
                <w:iCs w:val="0"/>
                <w:sz w:val="18"/>
                <w:szCs w:val="14"/>
              </w:rPr>
            </w:pPr>
            <w:r w:rsidRPr="00F97146">
              <w:rPr>
                <w:rFonts w:cs="Segoe UI"/>
                <w:bCs/>
                <w:iCs w:val="0"/>
                <w:sz w:val="18"/>
                <w:szCs w:val="14"/>
              </w:rPr>
              <w:t>h</w:t>
            </w:r>
          </w:p>
        </w:tc>
        <w:tc>
          <w:tcPr>
            <w:tcW w:w="4840" w:type="dxa"/>
            <w:tcBorders>
              <w:top w:val="single" w:sz="4" w:space="0" w:color="auto"/>
              <w:left w:val="single" w:sz="4" w:space="0" w:color="auto"/>
              <w:bottom w:val="single" w:sz="4" w:space="0" w:color="auto"/>
              <w:right w:val="single" w:sz="4" w:space="0" w:color="auto"/>
            </w:tcBorders>
          </w:tcPr>
          <w:p w14:paraId="688DE165" w14:textId="77777777" w:rsidR="00F26E61" w:rsidRPr="00F97146" w:rsidRDefault="00F26E61" w:rsidP="00407A8E">
            <w:pPr>
              <w:spacing w:before="60"/>
              <w:rPr>
                <w:rFonts w:eastAsia="Segoe UI" w:cs="Segoe UI"/>
                <w:iCs w:val="0"/>
                <w:sz w:val="18"/>
                <w:szCs w:val="14"/>
              </w:rPr>
            </w:pPr>
            <w:r w:rsidRPr="00F97146">
              <w:rPr>
                <w:rFonts w:cs="Segoe UI"/>
                <w:bCs/>
                <w:iCs w:val="0"/>
                <w:sz w:val="18"/>
                <w:szCs w:val="14"/>
              </w:rPr>
              <w:t>The express statement that individuals can claim compensation for defective devices against manufacturers, and manufacturers shall carry appropriate insurance, is an important statement of liability and should be retained.</w:t>
            </w:r>
          </w:p>
        </w:tc>
        <w:tc>
          <w:tcPr>
            <w:tcW w:w="5528" w:type="dxa"/>
            <w:tcBorders>
              <w:top w:val="single" w:sz="4" w:space="0" w:color="auto"/>
              <w:left w:val="single" w:sz="4" w:space="0" w:color="auto"/>
              <w:bottom w:val="single" w:sz="4" w:space="0" w:color="auto"/>
              <w:right w:val="single" w:sz="4" w:space="0" w:color="auto"/>
            </w:tcBorders>
          </w:tcPr>
          <w:p w14:paraId="260CBBA1" w14:textId="77777777" w:rsidR="00F26E61" w:rsidRPr="00F97146" w:rsidRDefault="00F26E61" w:rsidP="00407A8E">
            <w:pPr>
              <w:spacing w:line="276" w:lineRule="auto"/>
              <w:rPr>
                <w:rFonts w:eastAsia="Segoe UI" w:cs="Segoe UI"/>
                <w:iCs w:val="0"/>
                <w:sz w:val="18"/>
                <w:szCs w:val="14"/>
              </w:rPr>
            </w:pPr>
            <w:r w:rsidRPr="00F97146">
              <w:rPr>
                <w:rFonts w:cs="Segoe UI"/>
                <w:bCs/>
                <w:iCs w:val="0"/>
                <w:sz w:val="18"/>
                <w:szCs w:val="14"/>
              </w:rPr>
              <w:t>Reinstate existing Art 10(16).</w:t>
            </w:r>
          </w:p>
        </w:tc>
      </w:tr>
      <w:tr w:rsidR="00F26E61" w:rsidRPr="00F97146" w14:paraId="45874515" w14:textId="77777777" w:rsidTr="0022597C">
        <w:tc>
          <w:tcPr>
            <w:tcW w:w="568" w:type="dxa"/>
          </w:tcPr>
          <w:p w14:paraId="3EF73598" w14:textId="77777777" w:rsidR="00F26E61" w:rsidRPr="00F97146" w:rsidRDefault="00F26E61" w:rsidP="00407A8E">
            <w:pPr>
              <w:spacing w:line="276" w:lineRule="auto"/>
              <w:ind w:left="-48" w:firstLine="6"/>
              <w:jc w:val="center"/>
              <w:rPr>
                <w:rFonts w:eastAsia="Segoe UI" w:cs="Segoe UI"/>
                <w:iCs w:val="0"/>
                <w:sz w:val="18"/>
                <w:szCs w:val="14"/>
              </w:rPr>
            </w:pPr>
            <w:r w:rsidRPr="00F97146">
              <w:rPr>
                <w:rFonts w:eastAsia="Segoe UI" w:cs="Segoe UI"/>
                <w:iCs w:val="0"/>
                <w:sz w:val="18"/>
                <w:szCs w:val="14"/>
              </w:rPr>
              <w:t>12</w:t>
            </w:r>
          </w:p>
        </w:tc>
        <w:tc>
          <w:tcPr>
            <w:tcW w:w="1134" w:type="dxa"/>
            <w:tcBorders>
              <w:top w:val="single" w:sz="4" w:space="0" w:color="auto"/>
              <w:left w:val="single" w:sz="4" w:space="0" w:color="auto"/>
              <w:bottom w:val="single" w:sz="4" w:space="0" w:color="auto"/>
              <w:right w:val="single" w:sz="4" w:space="0" w:color="auto"/>
            </w:tcBorders>
          </w:tcPr>
          <w:p w14:paraId="2CCFE0EF" w14:textId="77777777" w:rsidR="00F26E61" w:rsidRPr="00F97146" w:rsidRDefault="00F26E61" w:rsidP="00407A8E">
            <w:pPr>
              <w:spacing w:line="276" w:lineRule="auto"/>
              <w:ind w:left="-48" w:firstLine="6"/>
              <w:jc w:val="center"/>
              <w:rPr>
                <w:bCs/>
                <w:iCs w:val="0"/>
                <w:sz w:val="18"/>
                <w:szCs w:val="14"/>
              </w:rPr>
            </w:pPr>
            <w:r w:rsidRPr="00F97146">
              <w:rPr>
                <w:rFonts w:eastAsia="Segoe UI" w:cs="Segoe UI"/>
                <w:iCs w:val="0"/>
                <w:sz w:val="18"/>
                <w:szCs w:val="14"/>
              </w:rPr>
              <w:t>43</w:t>
            </w:r>
          </w:p>
        </w:tc>
        <w:tc>
          <w:tcPr>
            <w:tcW w:w="1114" w:type="dxa"/>
            <w:tcBorders>
              <w:top w:val="single" w:sz="4" w:space="0" w:color="auto"/>
              <w:left w:val="single" w:sz="4" w:space="0" w:color="auto"/>
              <w:bottom w:val="single" w:sz="4" w:space="0" w:color="auto"/>
              <w:right w:val="single" w:sz="4" w:space="0" w:color="auto"/>
            </w:tcBorders>
          </w:tcPr>
          <w:p w14:paraId="3DF50D10" w14:textId="77777777" w:rsidR="00F26E61" w:rsidRPr="00F97146" w:rsidRDefault="00F26E61" w:rsidP="00407A8E">
            <w:pPr>
              <w:spacing w:line="276" w:lineRule="auto"/>
              <w:ind w:left="75"/>
              <w:jc w:val="center"/>
              <w:rPr>
                <w:bCs/>
                <w:iCs w:val="0"/>
                <w:sz w:val="18"/>
                <w:szCs w:val="14"/>
              </w:rPr>
            </w:pPr>
            <w:r w:rsidRPr="00F97146">
              <w:rPr>
                <w:iCs w:val="0"/>
                <w:sz w:val="18"/>
                <w:szCs w:val="14"/>
                <w:lang w:val="fr-FR"/>
              </w:rPr>
              <w:t>1</w:t>
            </w:r>
          </w:p>
        </w:tc>
        <w:tc>
          <w:tcPr>
            <w:tcW w:w="1134" w:type="dxa"/>
            <w:tcBorders>
              <w:top w:val="single" w:sz="4" w:space="0" w:color="auto"/>
              <w:left w:val="single" w:sz="4" w:space="0" w:color="auto"/>
              <w:bottom w:val="single" w:sz="4" w:space="0" w:color="auto"/>
              <w:right w:val="single" w:sz="4" w:space="0" w:color="auto"/>
            </w:tcBorders>
          </w:tcPr>
          <w:p w14:paraId="7D02E94A" w14:textId="77777777" w:rsidR="00F26E61" w:rsidRPr="00F97146" w:rsidRDefault="00F26E61" w:rsidP="00407A8E">
            <w:pPr>
              <w:spacing w:line="276" w:lineRule="auto"/>
              <w:jc w:val="center"/>
              <w:rPr>
                <w:bCs/>
                <w:iCs w:val="0"/>
                <w:sz w:val="18"/>
                <w:szCs w:val="14"/>
              </w:rPr>
            </w:pPr>
            <w:r w:rsidRPr="00F97146">
              <w:rPr>
                <w:bCs/>
                <w:iCs w:val="0"/>
                <w:sz w:val="18"/>
                <w:szCs w:val="14"/>
              </w:rPr>
              <w:t>13</w:t>
            </w:r>
          </w:p>
        </w:tc>
        <w:tc>
          <w:tcPr>
            <w:tcW w:w="1134" w:type="dxa"/>
            <w:tcBorders>
              <w:top w:val="single" w:sz="4" w:space="0" w:color="auto"/>
              <w:left w:val="single" w:sz="4" w:space="0" w:color="auto"/>
              <w:bottom w:val="single" w:sz="4" w:space="0" w:color="auto"/>
              <w:right w:val="single" w:sz="4" w:space="0" w:color="auto"/>
            </w:tcBorders>
          </w:tcPr>
          <w:p w14:paraId="73BCAAD9" w14:textId="77777777" w:rsidR="00F26E61" w:rsidRPr="00F97146" w:rsidRDefault="00F26E61" w:rsidP="00407A8E">
            <w:pPr>
              <w:spacing w:line="276" w:lineRule="auto"/>
              <w:ind w:left="14"/>
              <w:jc w:val="center"/>
              <w:rPr>
                <w:b/>
                <w:iCs w:val="0"/>
                <w:sz w:val="18"/>
                <w:szCs w:val="14"/>
              </w:rPr>
            </w:pPr>
            <w:proofErr w:type="spellStart"/>
            <w:r w:rsidRPr="00F97146">
              <w:rPr>
                <w:rFonts w:eastAsia="Segoe UI" w:cs="Segoe UI"/>
                <w:iCs w:val="0"/>
                <w:sz w:val="18"/>
                <w:szCs w:val="14"/>
              </w:rPr>
              <w:t>a,d</w:t>
            </w:r>
            <w:proofErr w:type="spellEnd"/>
            <w:r w:rsidRPr="00F97146">
              <w:rPr>
                <w:rFonts w:eastAsia="Segoe UI" w:cs="Segoe UI"/>
                <w:iCs w:val="0"/>
                <w:sz w:val="18"/>
                <w:szCs w:val="14"/>
              </w:rPr>
              <w:t xml:space="preserve"> </w:t>
            </w:r>
          </w:p>
        </w:tc>
        <w:tc>
          <w:tcPr>
            <w:tcW w:w="4840" w:type="dxa"/>
            <w:tcBorders>
              <w:top w:val="single" w:sz="4" w:space="0" w:color="auto"/>
              <w:left w:val="single" w:sz="4" w:space="0" w:color="auto"/>
              <w:bottom w:val="single" w:sz="4" w:space="0" w:color="auto"/>
              <w:right w:val="single" w:sz="4" w:space="0" w:color="auto"/>
            </w:tcBorders>
          </w:tcPr>
          <w:p w14:paraId="27F3477C" w14:textId="77777777" w:rsidR="00F26E61" w:rsidRPr="00F97146" w:rsidRDefault="00F26E61" w:rsidP="00407A8E">
            <w:pPr>
              <w:spacing w:before="60"/>
              <w:rPr>
                <w:iCs w:val="0"/>
                <w:sz w:val="18"/>
                <w:szCs w:val="14"/>
              </w:rPr>
            </w:pPr>
            <w:r w:rsidRPr="00F97146">
              <w:rPr>
                <w:rFonts w:eastAsia="Segoe UI" w:cs="Segoe UI"/>
                <w:iCs w:val="0"/>
                <w:sz w:val="18"/>
                <w:szCs w:val="14"/>
              </w:rPr>
              <w:t>Commission proposal:</w:t>
            </w:r>
          </w:p>
          <w:p w14:paraId="3B0A353E" w14:textId="77777777" w:rsidR="00F26E61" w:rsidRPr="00F97146" w:rsidRDefault="00F26E61" w:rsidP="00407A8E">
            <w:pPr>
              <w:spacing w:before="60"/>
              <w:rPr>
                <w:rFonts w:eastAsia="Segoe UI" w:cs="Segoe UI"/>
                <w:iCs w:val="0"/>
                <w:sz w:val="18"/>
                <w:szCs w:val="14"/>
              </w:rPr>
            </w:pPr>
            <w:r w:rsidRPr="00F97146">
              <w:rPr>
                <w:rFonts w:eastAsia="Segoe UI" w:cs="Segoe UI"/>
                <w:iCs w:val="0"/>
                <w:sz w:val="18"/>
                <w:szCs w:val="14"/>
              </w:rPr>
              <w:t>Art 15(1): “</w:t>
            </w:r>
            <w:r w:rsidRPr="00F97146">
              <w:rPr>
                <w:rFonts w:eastAsia="Segoe UI" w:cs="Segoe UI"/>
                <w:i/>
                <w:sz w:val="18"/>
                <w:szCs w:val="14"/>
              </w:rPr>
              <w:t>Manufacturers shall have available within their organisation at least one person responsible for regulatory compliance who possesses the requisite expertise in the field of in vitro diagnostic medical devices</w:t>
            </w:r>
            <w:r w:rsidRPr="00F97146">
              <w:rPr>
                <w:rFonts w:eastAsia="Segoe UI" w:cs="Segoe UI"/>
                <w:iCs w:val="0"/>
                <w:sz w:val="18"/>
                <w:szCs w:val="14"/>
              </w:rPr>
              <w:t>”</w:t>
            </w:r>
          </w:p>
          <w:p w14:paraId="11A95328" w14:textId="77777777" w:rsidR="00F26E61" w:rsidRPr="00F97146" w:rsidRDefault="00F26E61" w:rsidP="00407A8E">
            <w:pPr>
              <w:rPr>
                <w:rFonts w:eastAsia="Segoe UI" w:cs="Segoe UI"/>
                <w:iCs w:val="0"/>
                <w:sz w:val="18"/>
                <w:szCs w:val="14"/>
              </w:rPr>
            </w:pPr>
            <w:r w:rsidRPr="00F97146">
              <w:rPr>
                <w:rFonts w:eastAsia="Segoe UI" w:cs="Segoe UI"/>
                <w:iCs w:val="0"/>
                <w:sz w:val="18"/>
                <w:szCs w:val="14"/>
              </w:rPr>
              <w:t>Art 15 (6): “</w:t>
            </w:r>
            <w:r w:rsidRPr="00F97146">
              <w:rPr>
                <w:rFonts w:eastAsia="Segoe UI" w:cs="Segoe UI"/>
                <w:i/>
                <w:sz w:val="18"/>
                <w:szCs w:val="14"/>
              </w:rPr>
              <w:t>Authorised representatives shall have permanently and continuously at their disposal at least one person responsible for regulatory compliance who possesses the requisite expertise regarding the regulatory requirements for in vitro diagnostic medical devices in the Union</w:t>
            </w:r>
            <w:r w:rsidRPr="00F97146">
              <w:rPr>
                <w:rFonts w:eastAsia="Segoe UI" w:cs="Segoe UI"/>
                <w:iCs w:val="0"/>
                <w:sz w:val="18"/>
                <w:szCs w:val="14"/>
              </w:rPr>
              <w:t>.”</w:t>
            </w:r>
          </w:p>
          <w:p w14:paraId="27E7F1E3" w14:textId="77777777" w:rsidR="00F26E61" w:rsidRPr="00F97146" w:rsidRDefault="00F26E61" w:rsidP="00407A8E">
            <w:pPr>
              <w:rPr>
                <w:iCs w:val="0"/>
                <w:sz w:val="18"/>
                <w:szCs w:val="14"/>
              </w:rPr>
            </w:pPr>
          </w:p>
          <w:p w14:paraId="08374877" w14:textId="77777777" w:rsidR="00F26E61" w:rsidRPr="00F97146" w:rsidRDefault="00F26E61" w:rsidP="00407A8E">
            <w:pPr>
              <w:rPr>
                <w:rFonts w:eastAsia="Segoe UI" w:cs="Segoe UI"/>
                <w:iCs w:val="0"/>
                <w:sz w:val="18"/>
                <w:szCs w:val="14"/>
              </w:rPr>
            </w:pPr>
            <w:r w:rsidRPr="00F97146">
              <w:rPr>
                <w:rFonts w:eastAsia="Segoe UI" w:cs="Segoe UI"/>
                <w:iCs w:val="0"/>
                <w:sz w:val="18"/>
                <w:szCs w:val="14"/>
              </w:rPr>
              <w:t>Removing the qualification requirement would allow any individual to be designated, even without the necessary expertise, which weakens compliance oversight. Without clear competence standards, the likelihood of incorrect regulatory decisions increases, raising the risk of non</w:t>
            </w:r>
            <w:r w:rsidRPr="00F97146">
              <w:rPr>
                <w:rFonts w:ascii="Cambria Math" w:eastAsia="Segoe UI" w:hAnsi="Cambria Math" w:cs="Cambria Math"/>
                <w:iCs w:val="0"/>
                <w:sz w:val="18"/>
                <w:szCs w:val="14"/>
              </w:rPr>
              <w:t>‑</w:t>
            </w:r>
            <w:r w:rsidRPr="00F97146">
              <w:rPr>
                <w:rFonts w:eastAsia="Segoe UI" w:cs="Segoe UI"/>
                <w:iCs w:val="0"/>
                <w:sz w:val="18"/>
                <w:szCs w:val="14"/>
              </w:rPr>
              <w:t>compliance, product recalls, and potential patient harm.</w:t>
            </w:r>
          </w:p>
          <w:p w14:paraId="4BE3BD25" w14:textId="77777777" w:rsidR="00F26E61" w:rsidRPr="00F97146" w:rsidRDefault="00F26E61" w:rsidP="00407A8E">
            <w:pPr>
              <w:rPr>
                <w:iCs w:val="0"/>
                <w:sz w:val="18"/>
                <w:szCs w:val="14"/>
              </w:rPr>
            </w:pPr>
          </w:p>
          <w:p w14:paraId="7ADC0BF4" w14:textId="77777777" w:rsidR="00F26E61" w:rsidRPr="00F97146" w:rsidRDefault="00F26E61" w:rsidP="00407A8E">
            <w:pPr>
              <w:rPr>
                <w:bCs/>
                <w:iCs w:val="0"/>
                <w:sz w:val="18"/>
                <w:szCs w:val="14"/>
              </w:rPr>
            </w:pPr>
            <w:r w:rsidRPr="00F97146">
              <w:rPr>
                <w:rFonts w:eastAsia="Segoe UI" w:cs="Segoe UI"/>
                <w:iCs w:val="0"/>
                <w:sz w:val="18"/>
                <w:szCs w:val="14"/>
              </w:rPr>
              <w:t xml:space="preserve">The MDR and IVDR introduced the PRRC role specifically to reinforce accountability and ensure that regulatory responsibilities are handled by qualified professionals. Eliminating the qualification criteria contradicts this original </w:t>
            </w:r>
            <w:r w:rsidRPr="00F97146">
              <w:rPr>
                <w:rFonts w:eastAsia="Segoe UI" w:cs="Segoe UI"/>
                <w:iCs w:val="0"/>
                <w:sz w:val="18"/>
                <w:szCs w:val="14"/>
              </w:rPr>
              <w:lastRenderedPageBreak/>
              <w:t>intent and risks fragmenting EU wide harmonization. Deleting the requirement ultimately reduces the robustness of the regulatory compliance system, increases patient safety risks, and creates uncertainty for both notified bodies and manufacturers.</w:t>
            </w:r>
          </w:p>
        </w:tc>
        <w:tc>
          <w:tcPr>
            <w:tcW w:w="5528" w:type="dxa"/>
            <w:tcBorders>
              <w:top w:val="single" w:sz="4" w:space="0" w:color="auto"/>
              <w:left w:val="single" w:sz="4" w:space="0" w:color="auto"/>
              <w:bottom w:val="single" w:sz="4" w:space="0" w:color="auto"/>
              <w:right w:val="single" w:sz="4" w:space="0" w:color="auto"/>
            </w:tcBorders>
          </w:tcPr>
          <w:p w14:paraId="66C395D6" w14:textId="77777777" w:rsidR="00F26E61" w:rsidRPr="00F97146" w:rsidRDefault="00F26E61" w:rsidP="00407A8E">
            <w:pPr>
              <w:spacing w:line="276" w:lineRule="auto"/>
              <w:rPr>
                <w:rFonts w:eastAsia="Segoe UI" w:cs="Segoe UI"/>
                <w:iCs w:val="0"/>
                <w:sz w:val="18"/>
                <w:szCs w:val="14"/>
              </w:rPr>
            </w:pPr>
            <w:r w:rsidRPr="00F97146">
              <w:rPr>
                <w:rFonts w:eastAsia="Segoe UI" w:cs="Segoe UI"/>
                <w:iCs w:val="0"/>
                <w:sz w:val="18"/>
                <w:szCs w:val="14"/>
              </w:rPr>
              <w:lastRenderedPageBreak/>
              <w:t>Reinstate the existing qualification criteria for PRRC.</w:t>
            </w:r>
          </w:p>
          <w:p w14:paraId="785818DE" w14:textId="77777777" w:rsidR="00F26E61" w:rsidRPr="00F97146" w:rsidRDefault="00F26E61" w:rsidP="00407A8E">
            <w:pPr>
              <w:rPr>
                <w:iCs w:val="0"/>
                <w:sz w:val="18"/>
                <w:szCs w:val="14"/>
              </w:rPr>
            </w:pPr>
          </w:p>
          <w:p w14:paraId="66BEEC97" w14:textId="77777777" w:rsidR="00F26E61" w:rsidRPr="00F97146" w:rsidRDefault="00F26E61" w:rsidP="00407A8E">
            <w:pPr>
              <w:spacing w:line="276" w:lineRule="auto"/>
              <w:ind w:left="25"/>
              <w:rPr>
                <w:bCs/>
                <w:iCs w:val="0"/>
                <w:sz w:val="18"/>
                <w:szCs w:val="14"/>
              </w:rPr>
            </w:pPr>
          </w:p>
        </w:tc>
      </w:tr>
      <w:tr w:rsidR="00F26E61" w:rsidRPr="00F97146" w14:paraId="5C956DA3" w14:textId="77777777" w:rsidTr="0022597C">
        <w:tc>
          <w:tcPr>
            <w:tcW w:w="568" w:type="dxa"/>
          </w:tcPr>
          <w:p w14:paraId="71720381" w14:textId="77777777" w:rsidR="00F26E61" w:rsidRPr="00F97146" w:rsidRDefault="00F26E61" w:rsidP="00407A8E">
            <w:pPr>
              <w:spacing w:before="60"/>
              <w:jc w:val="center"/>
              <w:rPr>
                <w:rFonts w:eastAsia="Segoe UI" w:cs="Segoe UI"/>
                <w:iCs w:val="0"/>
                <w:sz w:val="18"/>
                <w:szCs w:val="14"/>
              </w:rPr>
            </w:pPr>
            <w:r w:rsidRPr="00F97146">
              <w:rPr>
                <w:rFonts w:eastAsia="Segoe UI" w:cs="Segoe UI"/>
                <w:iCs w:val="0"/>
                <w:sz w:val="18"/>
                <w:szCs w:val="14"/>
              </w:rPr>
              <w:t>13</w:t>
            </w:r>
          </w:p>
        </w:tc>
        <w:tc>
          <w:tcPr>
            <w:tcW w:w="1134" w:type="dxa"/>
            <w:tcBorders>
              <w:top w:val="single" w:sz="4" w:space="0" w:color="auto"/>
              <w:left w:val="single" w:sz="4" w:space="0" w:color="auto"/>
              <w:bottom w:val="single" w:sz="4" w:space="0" w:color="auto"/>
              <w:right w:val="single" w:sz="4" w:space="0" w:color="auto"/>
            </w:tcBorders>
          </w:tcPr>
          <w:p w14:paraId="3DFD53A4" w14:textId="77777777" w:rsidR="00F26E61" w:rsidRPr="00F97146" w:rsidRDefault="00F26E61" w:rsidP="00407A8E">
            <w:pPr>
              <w:spacing w:before="60"/>
              <w:jc w:val="center"/>
              <w:rPr>
                <w:rFonts w:eastAsia="Segoe UI" w:cs="Segoe UI"/>
                <w:iCs w:val="0"/>
                <w:sz w:val="18"/>
                <w:szCs w:val="14"/>
              </w:rPr>
            </w:pPr>
            <w:r w:rsidRPr="00F97146">
              <w:rPr>
                <w:rFonts w:eastAsia="Segoe UI" w:cs="Segoe UI"/>
                <w:iCs w:val="0"/>
                <w:sz w:val="18"/>
                <w:szCs w:val="14"/>
              </w:rPr>
              <w:t>46</w:t>
            </w:r>
          </w:p>
        </w:tc>
        <w:tc>
          <w:tcPr>
            <w:tcW w:w="1114" w:type="dxa"/>
            <w:tcBorders>
              <w:top w:val="single" w:sz="4" w:space="0" w:color="auto"/>
              <w:left w:val="single" w:sz="4" w:space="0" w:color="auto"/>
              <w:bottom w:val="single" w:sz="4" w:space="0" w:color="auto"/>
              <w:right w:val="single" w:sz="4" w:space="0" w:color="auto"/>
            </w:tcBorders>
          </w:tcPr>
          <w:p w14:paraId="3A7E8415" w14:textId="77777777" w:rsidR="00F26E61" w:rsidRPr="00F97146" w:rsidRDefault="00F26E61" w:rsidP="00407A8E">
            <w:pPr>
              <w:spacing w:line="276" w:lineRule="auto"/>
              <w:ind w:left="75"/>
              <w:jc w:val="center"/>
              <w:rPr>
                <w:rFonts w:eastAsia="Segoe UI" w:cs="Segoe UI"/>
                <w:iCs w:val="0"/>
                <w:sz w:val="18"/>
                <w:szCs w:val="14"/>
              </w:rPr>
            </w:pPr>
            <w:r w:rsidRPr="00F97146">
              <w:rPr>
                <w:rFonts w:eastAsia="Segoe UI" w:cs="Segoe UI"/>
                <w:iCs w:val="0"/>
                <w:sz w:val="18"/>
                <w:szCs w:val="14"/>
              </w:rPr>
              <w:t xml:space="preserve">1 </w:t>
            </w:r>
          </w:p>
        </w:tc>
        <w:tc>
          <w:tcPr>
            <w:tcW w:w="1134" w:type="dxa"/>
            <w:tcBorders>
              <w:top w:val="single" w:sz="4" w:space="0" w:color="auto"/>
              <w:left w:val="single" w:sz="4" w:space="0" w:color="auto"/>
              <w:bottom w:val="single" w:sz="4" w:space="0" w:color="auto"/>
              <w:right w:val="single" w:sz="4" w:space="0" w:color="auto"/>
            </w:tcBorders>
          </w:tcPr>
          <w:p w14:paraId="229DFABD" w14:textId="77777777" w:rsidR="00F26E61" w:rsidRPr="00F97146" w:rsidRDefault="00F26E61" w:rsidP="00407A8E">
            <w:pPr>
              <w:spacing w:line="276" w:lineRule="auto"/>
              <w:jc w:val="center"/>
              <w:rPr>
                <w:rFonts w:eastAsia="Segoe UI" w:cs="Segoe UI"/>
                <w:iCs w:val="0"/>
                <w:sz w:val="18"/>
                <w:szCs w:val="14"/>
              </w:rPr>
            </w:pPr>
            <w:r w:rsidRPr="00F97146">
              <w:rPr>
                <w:rFonts w:eastAsia="Segoe UI" w:cs="Segoe UI"/>
                <w:iCs w:val="0"/>
                <w:sz w:val="18"/>
                <w:szCs w:val="14"/>
              </w:rPr>
              <w:t>21</w:t>
            </w:r>
          </w:p>
        </w:tc>
        <w:tc>
          <w:tcPr>
            <w:tcW w:w="1134" w:type="dxa"/>
            <w:tcBorders>
              <w:top w:val="single" w:sz="4" w:space="0" w:color="auto"/>
              <w:left w:val="single" w:sz="4" w:space="0" w:color="auto"/>
              <w:bottom w:val="single" w:sz="4" w:space="0" w:color="auto"/>
              <w:right w:val="single" w:sz="4" w:space="0" w:color="auto"/>
            </w:tcBorders>
          </w:tcPr>
          <w:p w14:paraId="21A8E7B9" w14:textId="77777777" w:rsidR="00F26E61" w:rsidRPr="00F97146" w:rsidRDefault="00F26E61" w:rsidP="00407A8E">
            <w:pPr>
              <w:spacing w:line="276" w:lineRule="auto"/>
              <w:ind w:left="14"/>
              <w:jc w:val="center"/>
              <w:rPr>
                <w:rFonts w:eastAsia="Segoe UI" w:cs="Segoe UI"/>
                <w:iCs w:val="0"/>
                <w:sz w:val="18"/>
                <w:szCs w:val="14"/>
              </w:rPr>
            </w:pPr>
          </w:p>
        </w:tc>
        <w:tc>
          <w:tcPr>
            <w:tcW w:w="4840" w:type="dxa"/>
            <w:tcBorders>
              <w:top w:val="single" w:sz="4" w:space="0" w:color="auto"/>
              <w:left w:val="single" w:sz="4" w:space="0" w:color="auto"/>
              <w:bottom w:val="single" w:sz="4" w:space="0" w:color="auto"/>
              <w:right w:val="single" w:sz="4" w:space="0" w:color="auto"/>
            </w:tcBorders>
          </w:tcPr>
          <w:p w14:paraId="67CE6D7C" w14:textId="77777777" w:rsidR="00F26E61" w:rsidRPr="00F97146" w:rsidRDefault="00F26E61" w:rsidP="00407A8E">
            <w:pPr>
              <w:rPr>
                <w:rFonts w:eastAsia="Segoe UI" w:cs="Segoe UI"/>
                <w:iCs w:val="0"/>
                <w:sz w:val="18"/>
                <w:szCs w:val="14"/>
              </w:rPr>
            </w:pPr>
            <w:r w:rsidRPr="00F97146">
              <w:rPr>
                <w:rFonts w:eastAsia="Segoe UI" w:cs="Segoe UI"/>
                <w:iCs w:val="0"/>
                <w:sz w:val="18"/>
                <w:szCs w:val="14"/>
              </w:rPr>
              <w:t xml:space="preserve">Commission proposal: </w:t>
            </w:r>
          </w:p>
          <w:p w14:paraId="754B209C" w14:textId="77777777" w:rsidR="00F26E61" w:rsidRPr="00F97146" w:rsidRDefault="00F26E61" w:rsidP="00F26E61">
            <w:pPr>
              <w:pStyle w:val="Paragraphedeliste"/>
              <w:numPr>
                <w:ilvl w:val="0"/>
                <w:numId w:val="80"/>
              </w:numPr>
              <w:spacing w:after="0"/>
              <w:rPr>
                <w:iCs w:val="0"/>
                <w:sz w:val="18"/>
                <w:szCs w:val="14"/>
              </w:rPr>
            </w:pPr>
            <w:r w:rsidRPr="00F97146">
              <w:rPr>
                <w:rFonts w:eastAsia="Segoe UI" w:cs="Segoe UI"/>
                <w:iCs w:val="0"/>
                <w:sz w:val="18"/>
                <w:szCs w:val="14"/>
              </w:rPr>
              <w:t>“</w:t>
            </w:r>
            <w:r w:rsidRPr="00F97146">
              <w:rPr>
                <w:rFonts w:eastAsia="Segoe UI" w:cs="Segoe UI"/>
                <w:i/>
                <w:sz w:val="18"/>
                <w:szCs w:val="14"/>
              </w:rPr>
              <w:t xml:space="preserve">For devices that are the subject of a conformity assessment as referred to in Art 52(3) and in Art 52(4), second and third subparagraphs, the notified body shall confirm in </w:t>
            </w:r>
            <w:proofErr w:type="spellStart"/>
            <w:r w:rsidRPr="00F97146">
              <w:rPr>
                <w:rFonts w:eastAsia="Segoe UI" w:cs="Segoe UI"/>
                <w:i/>
                <w:sz w:val="18"/>
                <w:szCs w:val="14"/>
              </w:rPr>
              <w:t>Eudamed</w:t>
            </w:r>
            <w:proofErr w:type="spellEnd"/>
            <w:r w:rsidRPr="00F97146">
              <w:rPr>
                <w:rFonts w:eastAsia="Segoe UI" w:cs="Segoe UI"/>
                <w:i/>
                <w:sz w:val="18"/>
                <w:szCs w:val="14"/>
              </w:rPr>
              <w:t xml:space="preserve"> that the information referred to in Part B of Annex VI is correct.”</w:t>
            </w:r>
          </w:p>
          <w:p w14:paraId="5E2EF675" w14:textId="77777777" w:rsidR="00F26E61" w:rsidRPr="00F97146" w:rsidRDefault="00F26E61" w:rsidP="00407A8E">
            <w:pPr>
              <w:rPr>
                <w:iCs w:val="0"/>
                <w:sz w:val="18"/>
                <w:szCs w:val="14"/>
              </w:rPr>
            </w:pPr>
          </w:p>
          <w:p w14:paraId="4AB1D506" w14:textId="77777777" w:rsidR="00F26E61" w:rsidRPr="00F97146" w:rsidRDefault="00F26E61" w:rsidP="00407A8E">
            <w:pPr>
              <w:rPr>
                <w:iCs w:val="0"/>
                <w:sz w:val="18"/>
                <w:szCs w:val="14"/>
              </w:rPr>
            </w:pPr>
            <w:r w:rsidRPr="00F97146">
              <w:rPr>
                <w:rFonts w:eastAsia="Segoe UI" w:cs="Segoe UI"/>
                <w:iCs w:val="0"/>
                <w:sz w:val="18"/>
                <w:szCs w:val="14"/>
              </w:rPr>
              <w:t>In Art 52(4) there is no third subparagraph in the proposal.</w:t>
            </w:r>
          </w:p>
          <w:p w14:paraId="23461DF3" w14:textId="77777777" w:rsidR="00F26E61" w:rsidRPr="00F97146" w:rsidRDefault="00F26E61" w:rsidP="00407A8E">
            <w:pPr>
              <w:rPr>
                <w:iCs w:val="0"/>
                <w:sz w:val="18"/>
                <w:szCs w:val="14"/>
              </w:rPr>
            </w:pPr>
          </w:p>
          <w:p w14:paraId="53F7B3CA" w14:textId="77777777" w:rsidR="00F26E61" w:rsidRPr="00F97146" w:rsidRDefault="00F26E61" w:rsidP="00407A8E">
            <w:pPr>
              <w:spacing w:before="60"/>
              <w:rPr>
                <w:rFonts w:eastAsia="Segoe UI" w:cs="Segoe UI"/>
                <w:iCs w:val="0"/>
                <w:sz w:val="18"/>
                <w:szCs w:val="14"/>
              </w:rPr>
            </w:pPr>
            <w:r w:rsidRPr="00F97146">
              <w:rPr>
                <w:rFonts w:eastAsia="Segoe UI" w:cs="Segoe UI"/>
                <w:iCs w:val="0"/>
                <w:sz w:val="18"/>
                <w:szCs w:val="14"/>
              </w:rPr>
              <w:t xml:space="preserve">To limit effort, costs and administrative burden the essential information to be confirmed by NB should be limited. </w:t>
            </w:r>
          </w:p>
        </w:tc>
        <w:tc>
          <w:tcPr>
            <w:tcW w:w="5528" w:type="dxa"/>
            <w:tcBorders>
              <w:top w:val="single" w:sz="4" w:space="0" w:color="auto"/>
              <w:left w:val="single" w:sz="4" w:space="0" w:color="auto"/>
              <w:bottom w:val="single" w:sz="4" w:space="0" w:color="auto"/>
              <w:right w:val="single" w:sz="4" w:space="0" w:color="auto"/>
            </w:tcBorders>
          </w:tcPr>
          <w:p w14:paraId="60B93548" w14:textId="77777777" w:rsidR="00F26E61" w:rsidRPr="00F97146" w:rsidRDefault="00F26E61" w:rsidP="00407A8E">
            <w:pPr>
              <w:rPr>
                <w:iCs w:val="0"/>
                <w:sz w:val="18"/>
                <w:szCs w:val="14"/>
              </w:rPr>
            </w:pPr>
            <w:r w:rsidRPr="00F97146">
              <w:rPr>
                <w:rFonts w:eastAsia="Segoe UI" w:cs="Segoe UI"/>
                <w:iCs w:val="0"/>
                <w:sz w:val="18"/>
                <w:szCs w:val="14"/>
              </w:rPr>
              <w:t xml:space="preserve">For devices that are the subject of a conformity assessment as referred to in Art 52(3) and in Art 52(4), second and third subparagraphs, the notified body shall confirm in </w:t>
            </w:r>
            <w:proofErr w:type="spellStart"/>
            <w:r w:rsidRPr="00F97146">
              <w:rPr>
                <w:rFonts w:eastAsia="Segoe UI" w:cs="Segoe UI"/>
                <w:iCs w:val="0"/>
                <w:sz w:val="18"/>
                <w:szCs w:val="14"/>
              </w:rPr>
              <w:t>Eudamed</w:t>
            </w:r>
            <w:proofErr w:type="spellEnd"/>
            <w:r w:rsidRPr="00F97146">
              <w:rPr>
                <w:rFonts w:eastAsia="Segoe UI" w:cs="Segoe UI"/>
                <w:iCs w:val="0"/>
                <w:sz w:val="18"/>
                <w:szCs w:val="14"/>
              </w:rPr>
              <w:t xml:space="preserve"> that the information is correct as referred to in Ann VI, Part B:</w:t>
            </w:r>
          </w:p>
          <w:p w14:paraId="3C3DF063" w14:textId="77777777" w:rsidR="00F26E61" w:rsidRPr="00F97146" w:rsidRDefault="00F26E61" w:rsidP="00F26E61">
            <w:pPr>
              <w:pStyle w:val="Paragraphedeliste"/>
              <w:numPr>
                <w:ilvl w:val="0"/>
                <w:numId w:val="84"/>
              </w:numPr>
              <w:spacing w:after="0"/>
              <w:rPr>
                <w:iCs w:val="0"/>
                <w:sz w:val="18"/>
                <w:szCs w:val="14"/>
                <w:lang w:val="fr-FR"/>
              </w:rPr>
            </w:pPr>
            <w:r w:rsidRPr="00F97146">
              <w:rPr>
                <w:rFonts w:eastAsia="Segoe UI" w:cs="Segoe UI"/>
                <w:iCs w:val="0"/>
                <w:sz w:val="18"/>
                <w:szCs w:val="14"/>
                <w:lang w:val="fr"/>
              </w:rPr>
              <w:t>point 2,</w:t>
            </w:r>
          </w:p>
          <w:p w14:paraId="2F3BC8A7" w14:textId="77777777" w:rsidR="00F26E61" w:rsidRPr="00F97146" w:rsidRDefault="00F26E61" w:rsidP="00F26E61">
            <w:pPr>
              <w:pStyle w:val="Paragraphedeliste"/>
              <w:numPr>
                <w:ilvl w:val="0"/>
                <w:numId w:val="84"/>
              </w:numPr>
              <w:spacing w:after="0"/>
              <w:rPr>
                <w:iCs w:val="0"/>
                <w:sz w:val="18"/>
                <w:szCs w:val="14"/>
                <w:lang w:val="fr-FR"/>
              </w:rPr>
            </w:pPr>
            <w:r w:rsidRPr="00F97146">
              <w:rPr>
                <w:rFonts w:eastAsia="Segoe UI" w:cs="Segoe UI"/>
                <w:iCs w:val="0"/>
                <w:sz w:val="18"/>
                <w:szCs w:val="14"/>
                <w:lang w:val="fr"/>
              </w:rPr>
              <w:t>point 5,</w:t>
            </w:r>
          </w:p>
          <w:p w14:paraId="238D7B79" w14:textId="77777777" w:rsidR="00F26E61" w:rsidRPr="00F97146" w:rsidRDefault="00F26E61" w:rsidP="00F26E61">
            <w:pPr>
              <w:pStyle w:val="Paragraphedeliste"/>
              <w:numPr>
                <w:ilvl w:val="0"/>
                <w:numId w:val="84"/>
              </w:numPr>
              <w:spacing w:after="0"/>
              <w:rPr>
                <w:iCs w:val="0"/>
                <w:sz w:val="18"/>
                <w:szCs w:val="14"/>
                <w:lang w:val="fr-FR"/>
              </w:rPr>
            </w:pPr>
            <w:r w:rsidRPr="00F97146">
              <w:rPr>
                <w:rFonts w:eastAsia="Segoe UI" w:cs="Segoe UI"/>
                <w:iCs w:val="0"/>
                <w:sz w:val="18"/>
                <w:szCs w:val="14"/>
                <w:lang w:val="fr"/>
              </w:rPr>
              <w:t>point 6,</w:t>
            </w:r>
          </w:p>
          <w:p w14:paraId="05C68B68" w14:textId="77777777" w:rsidR="00F26E61" w:rsidRPr="00F97146" w:rsidRDefault="00F26E61" w:rsidP="00F26E61">
            <w:pPr>
              <w:pStyle w:val="Paragraphedeliste"/>
              <w:numPr>
                <w:ilvl w:val="0"/>
                <w:numId w:val="84"/>
              </w:numPr>
              <w:spacing w:after="0"/>
              <w:rPr>
                <w:iCs w:val="0"/>
                <w:sz w:val="18"/>
                <w:szCs w:val="14"/>
                <w:lang w:val="fr-FR"/>
              </w:rPr>
            </w:pPr>
            <w:r w:rsidRPr="00F97146">
              <w:rPr>
                <w:rFonts w:eastAsia="Segoe UI" w:cs="Segoe UI"/>
                <w:iCs w:val="0"/>
                <w:sz w:val="18"/>
                <w:szCs w:val="14"/>
                <w:lang w:val="fr"/>
              </w:rPr>
              <w:t>point 7,</w:t>
            </w:r>
          </w:p>
          <w:p w14:paraId="2CDEBBF8" w14:textId="77777777" w:rsidR="00F26E61" w:rsidRPr="00F97146" w:rsidRDefault="00F26E61" w:rsidP="00F26E61">
            <w:pPr>
              <w:pStyle w:val="Paragraphedeliste"/>
              <w:numPr>
                <w:ilvl w:val="0"/>
                <w:numId w:val="84"/>
              </w:numPr>
              <w:spacing w:after="0"/>
              <w:rPr>
                <w:iCs w:val="0"/>
                <w:sz w:val="18"/>
                <w:szCs w:val="14"/>
                <w:lang w:val="fr-FR"/>
              </w:rPr>
            </w:pPr>
            <w:r w:rsidRPr="00F97146">
              <w:rPr>
                <w:rFonts w:eastAsia="Segoe UI" w:cs="Segoe UI"/>
                <w:iCs w:val="0"/>
                <w:sz w:val="18"/>
                <w:szCs w:val="14"/>
                <w:lang w:val="fr"/>
              </w:rPr>
              <w:t>point 8,</w:t>
            </w:r>
          </w:p>
          <w:p w14:paraId="77DDF2DB" w14:textId="77777777" w:rsidR="00F26E61" w:rsidRPr="00F97146" w:rsidRDefault="00F26E61" w:rsidP="00F26E61">
            <w:pPr>
              <w:pStyle w:val="Paragraphedeliste"/>
              <w:numPr>
                <w:ilvl w:val="0"/>
                <w:numId w:val="84"/>
              </w:numPr>
              <w:spacing w:after="0"/>
              <w:rPr>
                <w:iCs w:val="0"/>
                <w:sz w:val="18"/>
                <w:szCs w:val="14"/>
                <w:lang w:val="fr-FR"/>
              </w:rPr>
            </w:pPr>
            <w:r w:rsidRPr="00F97146">
              <w:rPr>
                <w:rFonts w:eastAsia="Segoe UI" w:cs="Segoe UI"/>
                <w:iCs w:val="0"/>
                <w:sz w:val="18"/>
                <w:szCs w:val="14"/>
                <w:lang w:val="fr"/>
              </w:rPr>
              <w:t>point 9,</w:t>
            </w:r>
          </w:p>
          <w:p w14:paraId="18BAACA1" w14:textId="77777777" w:rsidR="00F26E61" w:rsidRPr="00F97146" w:rsidRDefault="00F26E61" w:rsidP="00F26E61">
            <w:pPr>
              <w:pStyle w:val="Paragraphedeliste"/>
              <w:numPr>
                <w:ilvl w:val="0"/>
                <w:numId w:val="84"/>
              </w:numPr>
              <w:spacing w:after="0"/>
              <w:rPr>
                <w:iCs w:val="0"/>
                <w:sz w:val="18"/>
                <w:szCs w:val="14"/>
                <w:lang w:val="fr-FR"/>
              </w:rPr>
            </w:pPr>
            <w:r w:rsidRPr="00F97146">
              <w:rPr>
                <w:rFonts w:eastAsia="Segoe UI" w:cs="Segoe UI"/>
                <w:iCs w:val="0"/>
                <w:sz w:val="18"/>
                <w:szCs w:val="14"/>
                <w:lang w:val="fr"/>
              </w:rPr>
              <w:t>point 19,</w:t>
            </w:r>
          </w:p>
          <w:p w14:paraId="4C7D53B6" w14:textId="77777777" w:rsidR="00F26E61" w:rsidRPr="00F97146" w:rsidRDefault="00F26E61" w:rsidP="00F26E61">
            <w:pPr>
              <w:pStyle w:val="Paragraphedeliste"/>
              <w:numPr>
                <w:ilvl w:val="0"/>
                <w:numId w:val="84"/>
              </w:numPr>
              <w:spacing w:after="0"/>
              <w:rPr>
                <w:iCs w:val="0"/>
                <w:sz w:val="18"/>
                <w:szCs w:val="14"/>
                <w:lang w:val="fr-FR"/>
              </w:rPr>
            </w:pPr>
            <w:r w:rsidRPr="00F97146">
              <w:rPr>
                <w:rFonts w:eastAsia="Segoe UI" w:cs="Segoe UI"/>
                <w:iCs w:val="0"/>
                <w:sz w:val="18"/>
                <w:szCs w:val="14"/>
                <w:lang w:val="fr"/>
              </w:rPr>
              <w:t>point 21,</w:t>
            </w:r>
          </w:p>
          <w:p w14:paraId="7F0141EF" w14:textId="77777777" w:rsidR="00F26E61" w:rsidRPr="00F97146" w:rsidRDefault="00F26E61" w:rsidP="00F26E61">
            <w:pPr>
              <w:pStyle w:val="Paragraphedeliste"/>
              <w:numPr>
                <w:ilvl w:val="0"/>
                <w:numId w:val="84"/>
              </w:numPr>
              <w:spacing w:after="0"/>
              <w:rPr>
                <w:iCs w:val="0"/>
                <w:sz w:val="18"/>
                <w:szCs w:val="14"/>
                <w:lang w:val="fr-FR"/>
              </w:rPr>
            </w:pPr>
            <w:r w:rsidRPr="00F97146">
              <w:rPr>
                <w:rFonts w:eastAsia="Segoe UI" w:cs="Segoe UI"/>
                <w:iCs w:val="0"/>
                <w:sz w:val="18"/>
                <w:szCs w:val="14"/>
                <w:lang w:val="fr"/>
              </w:rPr>
              <w:t>point 22,</w:t>
            </w:r>
          </w:p>
          <w:p w14:paraId="6E4B5F57" w14:textId="77777777" w:rsidR="00F26E61" w:rsidRPr="00F97146" w:rsidRDefault="00F26E61" w:rsidP="00F26E61">
            <w:pPr>
              <w:pStyle w:val="Paragraphedeliste"/>
              <w:numPr>
                <w:ilvl w:val="0"/>
                <w:numId w:val="84"/>
              </w:numPr>
              <w:spacing w:after="0" w:line="276" w:lineRule="auto"/>
              <w:rPr>
                <w:rFonts w:eastAsia="Segoe UI" w:cs="Segoe UI"/>
                <w:iCs w:val="0"/>
                <w:sz w:val="18"/>
                <w:szCs w:val="14"/>
              </w:rPr>
            </w:pPr>
            <w:r w:rsidRPr="00F97146">
              <w:rPr>
                <w:rFonts w:eastAsia="Segoe UI" w:cs="Segoe UI"/>
                <w:iCs w:val="0"/>
                <w:sz w:val="18"/>
                <w:szCs w:val="14"/>
                <w:lang w:val="fr"/>
              </w:rPr>
              <w:t>- point 23.</w:t>
            </w:r>
          </w:p>
        </w:tc>
      </w:tr>
      <w:tr w:rsidR="00F26E61" w:rsidRPr="00F97146" w14:paraId="1A7BD121" w14:textId="77777777" w:rsidTr="0022597C">
        <w:tc>
          <w:tcPr>
            <w:tcW w:w="568" w:type="dxa"/>
          </w:tcPr>
          <w:p w14:paraId="6B9BE8BE" w14:textId="77777777" w:rsidR="00F26E61" w:rsidRPr="00F97146" w:rsidRDefault="00F26E61" w:rsidP="00407A8E">
            <w:pPr>
              <w:spacing w:line="276" w:lineRule="auto"/>
              <w:ind w:left="-48" w:firstLine="6"/>
              <w:jc w:val="center"/>
              <w:rPr>
                <w:bCs/>
                <w:iCs w:val="0"/>
                <w:sz w:val="18"/>
                <w:szCs w:val="14"/>
              </w:rPr>
            </w:pPr>
            <w:r w:rsidRPr="00F97146">
              <w:rPr>
                <w:bCs/>
                <w:iCs w:val="0"/>
                <w:sz w:val="18"/>
                <w:szCs w:val="14"/>
              </w:rPr>
              <w:t>14</w:t>
            </w:r>
          </w:p>
        </w:tc>
        <w:tc>
          <w:tcPr>
            <w:tcW w:w="1134" w:type="dxa"/>
            <w:tcBorders>
              <w:top w:val="single" w:sz="4" w:space="0" w:color="auto"/>
              <w:left w:val="single" w:sz="4" w:space="0" w:color="auto"/>
              <w:bottom w:val="single" w:sz="4" w:space="0" w:color="auto"/>
              <w:right w:val="single" w:sz="4" w:space="0" w:color="auto"/>
            </w:tcBorders>
          </w:tcPr>
          <w:p w14:paraId="573CBBC1" w14:textId="77777777" w:rsidR="00F26E61" w:rsidRPr="00F97146" w:rsidDel="009E785F" w:rsidRDefault="00F26E61" w:rsidP="00407A8E">
            <w:pPr>
              <w:spacing w:line="276" w:lineRule="auto"/>
              <w:ind w:left="-48" w:firstLine="6"/>
              <w:jc w:val="center"/>
              <w:rPr>
                <w:bCs/>
                <w:iCs w:val="0"/>
                <w:sz w:val="18"/>
                <w:szCs w:val="14"/>
              </w:rPr>
            </w:pPr>
            <w:r w:rsidRPr="00F97146">
              <w:rPr>
                <w:bCs/>
                <w:iCs w:val="0"/>
                <w:sz w:val="18"/>
                <w:szCs w:val="14"/>
              </w:rPr>
              <w:t>47</w:t>
            </w:r>
          </w:p>
        </w:tc>
        <w:tc>
          <w:tcPr>
            <w:tcW w:w="1114" w:type="dxa"/>
            <w:tcBorders>
              <w:top w:val="single" w:sz="4" w:space="0" w:color="auto"/>
              <w:left w:val="single" w:sz="4" w:space="0" w:color="auto"/>
              <w:bottom w:val="single" w:sz="4" w:space="0" w:color="auto"/>
              <w:right w:val="single" w:sz="4" w:space="0" w:color="auto"/>
            </w:tcBorders>
          </w:tcPr>
          <w:p w14:paraId="4FFBC955" w14:textId="77777777" w:rsidR="00F26E61" w:rsidRPr="00F97146" w:rsidRDefault="00F26E61" w:rsidP="00407A8E">
            <w:pPr>
              <w:spacing w:line="276" w:lineRule="auto"/>
              <w:ind w:left="75"/>
              <w:jc w:val="center"/>
              <w:rPr>
                <w:iCs w:val="0"/>
                <w:sz w:val="18"/>
                <w:szCs w:val="14"/>
                <w:lang w:val="fr-FR"/>
              </w:rPr>
            </w:pPr>
            <w:r w:rsidRPr="00F97146">
              <w:rPr>
                <w:iCs w:val="0"/>
                <w:sz w:val="18"/>
                <w:szCs w:val="14"/>
                <w:lang w:val="fr-FR"/>
              </w:rPr>
              <w:t>1</w:t>
            </w:r>
          </w:p>
        </w:tc>
        <w:tc>
          <w:tcPr>
            <w:tcW w:w="1134" w:type="dxa"/>
            <w:tcBorders>
              <w:top w:val="single" w:sz="4" w:space="0" w:color="auto"/>
              <w:left w:val="single" w:sz="4" w:space="0" w:color="auto"/>
              <w:bottom w:val="single" w:sz="4" w:space="0" w:color="auto"/>
              <w:right w:val="single" w:sz="4" w:space="0" w:color="auto"/>
            </w:tcBorders>
          </w:tcPr>
          <w:p w14:paraId="0967A324" w14:textId="77777777" w:rsidR="00F26E61" w:rsidRPr="00F97146" w:rsidRDefault="00F26E61" w:rsidP="00407A8E">
            <w:pPr>
              <w:spacing w:line="276" w:lineRule="auto"/>
              <w:jc w:val="center"/>
              <w:rPr>
                <w:bCs/>
                <w:iCs w:val="0"/>
                <w:sz w:val="18"/>
                <w:szCs w:val="14"/>
              </w:rPr>
            </w:pPr>
            <w:r w:rsidRPr="00F97146">
              <w:rPr>
                <w:bCs/>
                <w:iCs w:val="0"/>
                <w:sz w:val="18"/>
                <w:szCs w:val="14"/>
              </w:rPr>
              <w:t>22</w:t>
            </w:r>
          </w:p>
        </w:tc>
        <w:tc>
          <w:tcPr>
            <w:tcW w:w="1134" w:type="dxa"/>
            <w:tcBorders>
              <w:top w:val="single" w:sz="4" w:space="0" w:color="auto"/>
              <w:left w:val="single" w:sz="4" w:space="0" w:color="auto"/>
              <w:bottom w:val="single" w:sz="4" w:space="0" w:color="auto"/>
              <w:right w:val="single" w:sz="4" w:space="0" w:color="auto"/>
            </w:tcBorders>
          </w:tcPr>
          <w:p w14:paraId="67EA46B6" w14:textId="77777777" w:rsidR="00F26E61" w:rsidRPr="00F97146" w:rsidDel="00EB17F7" w:rsidRDefault="00F26E61" w:rsidP="00407A8E">
            <w:pPr>
              <w:spacing w:line="276" w:lineRule="auto"/>
              <w:ind w:left="14"/>
              <w:jc w:val="center"/>
              <w:rPr>
                <w:b/>
                <w:iCs w:val="0"/>
                <w:sz w:val="18"/>
                <w:szCs w:val="14"/>
              </w:rPr>
            </w:pPr>
          </w:p>
        </w:tc>
        <w:tc>
          <w:tcPr>
            <w:tcW w:w="4840" w:type="dxa"/>
            <w:tcBorders>
              <w:top w:val="single" w:sz="4" w:space="0" w:color="auto"/>
              <w:left w:val="single" w:sz="4" w:space="0" w:color="auto"/>
              <w:bottom w:val="single" w:sz="4" w:space="0" w:color="auto"/>
              <w:right w:val="single" w:sz="4" w:space="0" w:color="auto"/>
            </w:tcBorders>
          </w:tcPr>
          <w:p w14:paraId="21A79B85" w14:textId="77777777" w:rsidR="00F26E61" w:rsidRPr="00F97146" w:rsidRDefault="00F26E61" w:rsidP="00407A8E">
            <w:pPr>
              <w:spacing w:line="276" w:lineRule="auto"/>
              <w:ind w:left="39"/>
              <w:rPr>
                <w:bCs/>
                <w:iCs w:val="0"/>
                <w:sz w:val="18"/>
                <w:szCs w:val="14"/>
              </w:rPr>
            </w:pPr>
            <w:r w:rsidRPr="00F97146">
              <w:rPr>
                <w:bCs/>
                <w:iCs w:val="0"/>
                <w:sz w:val="18"/>
                <w:szCs w:val="14"/>
              </w:rPr>
              <w:t xml:space="preserve">Commission proposal: </w:t>
            </w:r>
          </w:p>
          <w:p w14:paraId="36060A45" w14:textId="77777777" w:rsidR="00F26E61" w:rsidRPr="00F97146" w:rsidRDefault="00F26E61" w:rsidP="00407A8E">
            <w:pPr>
              <w:spacing w:line="276" w:lineRule="auto"/>
              <w:ind w:left="39"/>
              <w:rPr>
                <w:bCs/>
                <w:i/>
                <w:sz w:val="18"/>
                <w:szCs w:val="14"/>
              </w:rPr>
            </w:pPr>
            <w:r w:rsidRPr="00F97146">
              <w:rPr>
                <w:bCs/>
                <w:i/>
                <w:sz w:val="18"/>
                <w:szCs w:val="14"/>
              </w:rPr>
              <w:t>“The Commission, after consulting the MDCG, shall set up and manage an electronic system to create the single registration number referred to in Article 31(2) and to collate and process information that is necessary and proportionate to identify the manufacturer and, where applicable, the authorised representative, the importer and the person referred to in Article 22(1). The details regarding the information to be provided to that electronic system by the economic operators are laid down in Part A, Section 1, of Annex VI.”</w:t>
            </w:r>
          </w:p>
          <w:p w14:paraId="20C4C173" w14:textId="77777777" w:rsidR="00F26E61" w:rsidRPr="00F97146" w:rsidRDefault="00F26E61" w:rsidP="00407A8E">
            <w:pPr>
              <w:spacing w:line="276" w:lineRule="auto"/>
              <w:ind w:left="39"/>
              <w:rPr>
                <w:bCs/>
                <w:i/>
                <w:sz w:val="18"/>
                <w:szCs w:val="14"/>
              </w:rPr>
            </w:pPr>
          </w:p>
          <w:p w14:paraId="373E1E16" w14:textId="77777777" w:rsidR="00F26E61" w:rsidRPr="00F97146" w:rsidDel="001E6BB0" w:rsidRDefault="00F26E61" w:rsidP="00407A8E">
            <w:pPr>
              <w:spacing w:line="276" w:lineRule="auto"/>
              <w:ind w:left="39"/>
              <w:rPr>
                <w:bCs/>
                <w:iCs w:val="0"/>
                <w:sz w:val="18"/>
                <w:szCs w:val="14"/>
              </w:rPr>
            </w:pPr>
            <w:r w:rsidRPr="00F97146">
              <w:rPr>
                <w:bCs/>
                <w:iCs w:val="0"/>
                <w:sz w:val="18"/>
                <w:szCs w:val="14"/>
              </w:rPr>
              <w:t xml:space="preserve">SME status should be documented in </w:t>
            </w:r>
            <w:proofErr w:type="spellStart"/>
            <w:r w:rsidRPr="00F97146">
              <w:rPr>
                <w:bCs/>
                <w:iCs w:val="0"/>
                <w:sz w:val="18"/>
                <w:szCs w:val="14"/>
              </w:rPr>
              <w:t>Eudamed</w:t>
            </w:r>
            <w:proofErr w:type="spellEnd"/>
            <w:r w:rsidRPr="00F97146">
              <w:rPr>
                <w:bCs/>
                <w:iCs w:val="0"/>
                <w:sz w:val="18"/>
                <w:szCs w:val="14"/>
              </w:rPr>
              <w:t xml:space="preserve">. This would be a more sustainable option than utilising the monthly NB surveys. </w:t>
            </w:r>
          </w:p>
        </w:tc>
        <w:tc>
          <w:tcPr>
            <w:tcW w:w="5528" w:type="dxa"/>
            <w:tcBorders>
              <w:top w:val="single" w:sz="4" w:space="0" w:color="auto"/>
              <w:left w:val="single" w:sz="4" w:space="0" w:color="auto"/>
              <w:bottom w:val="single" w:sz="4" w:space="0" w:color="auto"/>
              <w:right w:val="single" w:sz="4" w:space="0" w:color="auto"/>
            </w:tcBorders>
          </w:tcPr>
          <w:p w14:paraId="65150C81" w14:textId="77777777" w:rsidR="00F26E61" w:rsidRPr="00F97146" w:rsidRDefault="00F26E61" w:rsidP="00407A8E">
            <w:pPr>
              <w:spacing w:line="276" w:lineRule="auto"/>
              <w:ind w:left="25"/>
              <w:rPr>
                <w:bCs/>
                <w:iCs w:val="0"/>
                <w:sz w:val="18"/>
                <w:szCs w:val="14"/>
              </w:rPr>
            </w:pPr>
            <w:r w:rsidRPr="00F97146">
              <w:rPr>
                <w:bCs/>
                <w:iCs w:val="0"/>
                <w:sz w:val="18"/>
                <w:szCs w:val="14"/>
              </w:rPr>
              <w:lastRenderedPageBreak/>
              <w:t xml:space="preserve">Team NB proposed text: </w:t>
            </w:r>
          </w:p>
          <w:p w14:paraId="738D9AE2" w14:textId="77777777" w:rsidR="00F26E61" w:rsidRPr="00F97146" w:rsidRDefault="00F26E61" w:rsidP="00407A8E">
            <w:pPr>
              <w:spacing w:line="276" w:lineRule="auto"/>
              <w:ind w:left="25"/>
              <w:rPr>
                <w:bCs/>
                <w:iCs w:val="0"/>
                <w:sz w:val="18"/>
                <w:szCs w:val="14"/>
              </w:rPr>
            </w:pPr>
            <w:r w:rsidRPr="00F97146">
              <w:rPr>
                <w:bCs/>
                <w:iCs w:val="0"/>
                <w:sz w:val="18"/>
                <w:szCs w:val="14"/>
              </w:rPr>
              <w:t>“</w:t>
            </w:r>
            <w:r w:rsidRPr="00F97146">
              <w:rPr>
                <w:bCs/>
                <w:i/>
                <w:sz w:val="18"/>
                <w:szCs w:val="14"/>
              </w:rPr>
              <w:t xml:space="preserve">The Commission, after consulting the MDCG, shall set up and manage an electronic system to create the single registration number referred to in Article 31(2) and to collate and process information that is necessary and proportionate to identify the manufacturer and, where applicable, the authorised representative, the importer and the person referred to in Article 22(1). The details regarding the information to be provided to that electronic system by the economic operators are laid down in Part A, Section 1, of Annex VI. </w:t>
            </w:r>
            <w:r w:rsidRPr="00F97146">
              <w:rPr>
                <w:b/>
                <w:i/>
                <w:sz w:val="18"/>
                <w:szCs w:val="14"/>
              </w:rPr>
              <w:t xml:space="preserve">In addition to the information referred to in Part A of Annex VI, manufacturers </w:t>
            </w:r>
            <w:r w:rsidRPr="00F97146">
              <w:rPr>
                <w:b/>
                <w:i/>
                <w:sz w:val="18"/>
                <w:szCs w:val="14"/>
              </w:rPr>
              <w:lastRenderedPageBreak/>
              <w:t>and authorized representatives shall provide the information required to determine size as per 2003/361/EC</w:t>
            </w:r>
            <w:r w:rsidRPr="00F97146">
              <w:rPr>
                <w:bCs/>
                <w:i/>
                <w:sz w:val="18"/>
                <w:szCs w:val="14"/>
              </w:rPr>
              <w:t>.”</w:t>
            </w:r>
          </w:p>
        </w:tc>
      </w:tr>
      <w:tr w:rsidR="00F26E61" w:rsidRPr="00F97146" w14:paraId="49D747B4" w14:textId="77777777" w:rsidTr="0022597C">
        <w:tc>
          <w:tcPr>
            <w:tcW w:w="568" w:type="dxa"/>
          </w:tcPr>
          <w:p w14:paraId="1B12B0BD" w14:textId="77777777" w:rsidR="00F26E61" w:rsidRPr="00F97146" w:rsidRDefault="00F26E61" w:rsidP="00407A8E">
            <w:pPr>
              <w:spacing w:line="276" w:lineRule="auto"/>
              <w:ind w:left="-48" w:firstLine="6"/>
              <w:jc w:val="center"/>
              <w:rPr>
                <w:bCs/>
                <w:iCs w:val="0"/>
                <w:sz w:val="18"/>
                <w:szCs w:val="14"/>
              </w:rPr>
            </w:pPr>
            <w:r w:rsidRPr="00F97146">
              <w:rPr>
                <w:bCs/>
                <w:iCs w:val="0"/>
                <w:sz w:val="18"/>
                <w:szCs w:val="14"/>
              </w:rPr>
              <w:lastRenderedPageBreak/>
              <w:t>15</w:t>
            </w:r>
          </w:p>
        </w:tc>
        <w:tc>
          <w:tcPr>
            <w:tcW w:w="1134" w:type="dxa"/>
            <w:tcBorders>
              <w:top w:val="single" w:sz="4" w:space="0" w:color="auto"/>
              <w:left w:val="single" w:sz="4" w:space="0" w:color="auto"/>
              <w:bottom w:val="single" w:sz="4" w:space="0" w:color="auto"/>
              <w:right w:val="single" w:sz="4" w:space="0" w:color="auto"/>
            </w:tcBorders>
          </w:tcPr>
          <w:p w14:paraId="3712FCA8" w14:textId="77777777" w:rsidR="00F26E61" w:rsidRPr="00F97146" w:rsidRDefault="00F26E61" w:rsidP="00407A8E">
            <w:pPr>
              <w:spacing w:line="276" w:lineRule="auto"/>
              <w:ind w:left="-48" w:firstLine="6"/>
              <w:jc w:val="center"/>
              <w:rPr>
                <w:iCs w:val="0"/>
                <w:sz w:val="18"/>
                <w:szCs w:val="14"/>
                <w:lang w:val="en-US"/>
              </w:rPr>
            </w:pPr>
            <w:r w:rsidRPr="00F97146">
              <w:rPr>
                <w:bCs/>
                <w:iCs w:val="0"/>
                <w:sz w:val="18"/>
                <w:szCs w:val="14"/>
              </w:rPr>
              <w:t>48, 101</w:t>
            </w:r>
          </w:p>
        </w:tc>
        <w:tc>
          <w:tcPr>
            <w:tcW w:w="1114" w:type="dxa"/>
            <w:tcBorders>
              <w:top w:val="single" w:sz="4" w:space="0" w:color="auto"/>
              <w:left w:val="single" w:sz="4" w:space="0" w:color="auto"/>
              <w:bottom w:val="single" w:sz="4" w:space="0" w:color="auto"/>
              <w:right w:val="single" w:sz="4" w:space="0" w:color="auto"/>
            </w:tcBorders>
          </w:tcPr>
          <w:p w14:paraId="6E738322" w14:textId="77777777" w:rsidR="00F26E61" w:rsidRPr="00F97146" w:rsidRDefault="00F26E61" w:rsidP="00407A8E">
            <w:pPr>
              <w:spacing w:line="276" w:lineRule="auto"/>
              <w:ind w:left="75"/>
              <w:jc w:val="center"/>
              <w:rPr>
                <w:bCs/>
                <w:iCs w:val="0"/>
                <w:sz w:val="18"/>
                <w:szCs w:val="14"/>
              </w:rPr>
            </w:pPr>
            <w:r w:rsidRPr="00F97146">
              <w:rPr>
                <w:iCs w:val="0"/>
                <w:sz w:val="18"/>
                <w:szCs w:val="14"/>
                <w:lang w:val="fr-FR"/>
              </w:rPr>
              <w:t>MDR : 1</w:t>
            </w:r>
          </w:p>
          <w:p w14:paraId="607AA1D7" w14:textId="77777777" w:rsidR="00F26E61" w:rsidRPr="00F97146" w:rsidRDefault="00F26E61" w:rsidP="00407A8E">
            <w:pPr>
              <w:spacing w:line="276" w:lineRule="auto"/>
              <w:ind w:left="75"/>
              <w:jc w:val="center"/>
              <w:rPr>
                <w:iCs w:val="0"/>
                <w:sz w:val="18"/>
                <w:szCs w:val="14"/>
                <w:lang w:val="fr-FR"/>
              </w:rPr>
            </w:pPr>
            <w:r w:rsidRPr="00F97146">
              <w:rPr>
                <w:bCs/>
                <w:iCs w:val="0"/>
                <w:sz w:val="18"/>
                <w:szCs w:val="14"/>
              </w:rPr>
              <w:t>IVDR: 2</w:t>
            </w:r>
          </w:p>
        </w:tc>
        <w:tc>
          <w:tcPr>
            <w:tcW w:w="1134" w:type="dxa"/>
            <w:tcBorders>
              <w:top w:val="single" w:sz="4" w:space="0" w:color="auto"/>
              <w:left w:val="single" w:sz="4" w:space="0" w:color="auto"/>
              <w:bottom w:val="single" w:sz="4" w:space="0" w:color="auto"/>
              <w:right w:val="single" w:sz="4" w:space="0" w:color="auto"/>
            </w:tcBorders>
          </w:tcPr>
          <w:p w14:paraId="5B9FA3EC" w14:textId="77777777" w:rsidR="00F26E61" w:rsidRPr="00F97146" w:rsidRDefault="00F26E61" w:rsidP="00407A8E">
            <w:pPr>
              <w:spacing w:line="276" w:lineRule="auto"/>
              <w:jc w:val="center"/>
              <w:rPr>
                <w:bCs/>
                <w:iCs w:val="0"/>
                <w:sz w:val="18"/>
                <w:szCs w:val="14"/>
              </w:rPr>
            </w:pPr>
            <w:r w:rsidRPr="00F97146">
              <w:rPr>
                <w:bCs/>
                <w:iCs w:val="0"/>
                <w:sz w:val="18"/>
                <w:szCs w:val="14"/>
              </w:rPr>
              <w:t>MDR: 24</w:t>
            </w:r>
          </w:p>
          <w:p w14:paraId="16608761" w14:textId="77777777" w:rsidR="00F26E61" w:rsidRPr="00F97146" w:rsidRDefault="00F26E61" w:rsidP="00407A8E">
            <w:pPr>
              <w:spacing w:line="276" w:lineRule="auto"/>
              <w:jc w:val="center"/>
              <w:rPr>
                <w:iCs w:val="0"/>
                <w:sz w:val="18"/>
                <w:szCs w:val="14"/>
                <w:lang w:val="en-US"/>
              </w:rPr>
            </w:pPr>
            <w:r w:rsidRPr="00F97146">
              <w:rPr>
                <w:bCs/>
                <w:iCs w:val="0"/>
                <w:sz w:val="18"/>
                <w:szCs w:val="14"/>
              </w:rPr>
              <w:t>IVDR: 22</w:t>
            </w:r>
          </w:p>
        </w:tc>
        <w:tc>
          <w:tcPr>
            <w:tcW w:w="1134" w:type="dxa"/>
            <w:tcBorders>
              <w:top w:val="single" w:sz="4" w:space="0" w:color="auto"/>
              <w:left w:val="single" w:sz="4" w:space="0" w:color="auto"/>
              <w:bottom w:val="single" w:sz="4" w:space="0" w:color="auto"/>
              <w:right w:val="single" w:sz="4" w:space="0" w:color="auto"/>
            </w:tcBorders>
          </w:tcPr>
          <w:p w14:paraId="10364445" w14:textId="77777777" w:rsidR="00F26E61" w:rsidRPr="00F97146" w:rsidRDefault="00F26E61" w:rsidP="00407A8E">
            <w:pPr>
              <w:spacing w:line="276" w:lineRule="auto"/>
              <w:ind w:left="14"/>
              <w:jc w:val="center"/>
              <w:rPr>
                <w:iCs w:val="0"/>
                <w:sz w:val="18"/>
                <w:szCs w:val="14"/>
                <w:lang w:val="en-US"/>
              </w:rPr>
            </w:pPr>
          </w:p>
        </w:tc>
        <w:tc>
          <w:tcPr>
            <w:tcW w:w="4840" w:type="dxa"/>
            <w:tcBorders>
              <w:top w:val="single" w:sz="4" w:space="0" w:color="auto"/>
              <w:left w:val="single" w:sz="4" w:space="0" w:color="auto"/>
              <w:bottom w:val="single" w:sz="4" w:space="0" w:color="auto"/>
              <w:right w:val="single" w:sz="4" w:space="0" w:color="auto"/>
            </w:tcBorders>
          </w:tcPr>
          <w:p w14:paraId="0CE5CF1B" w14:textId="77777777" w:rsidR="00F26E61" w:rsidRPr="00F97146" w:rsidRDefault="00F26E61" w:rsidP="00407A8E">
            <w:pPr>
              <w:spacing w:line="276" w:lineRule="auto"/>
              <w:ind w:left="39"/>
              <w:rPr>
                <w:bCs/>
                <w:iCs w:val="0"/>
                <w:sz w:val="18"/>
                <w:szCs w:val="14"/>
              </w:rPr>
            </w:pPr>
            <w:r w:rsidRPr="00F97146">
              <w:rPr>
                <w:bCs/>
                <w:iCs w:val="0"/>
                <w:sz w:val="18"/>
                <w:szCs w:val="14"/>
              </w:rPr>
              <w:t xml:space="preserve">The purpose of a SSCP/SSP is not for it to be validated by a NB, and the proposal already removes the requirements for validation. It would be possible to require a SSCP/SSP be published without ever having been reviewed by a notified body. The primary consideration should be whether the SSCP/SSP provides value to the intended audience: the public, patients and their </w:t>
            </w:r>
            <w:proofErr w:type="spellStart"/>
            <w:r w:rsidRPr="00F97146">
              <w:rPr>
                <w:bCs/>
                <w:iCs w:val="0"/>
                <w:sz w:val="18"/>
                <w:szCs w:val="14"/>
              </w:rPr>
              <w:t>carers</w:t>
            </w:r>
            <w:proofErr w:type="spellEnd"/>
            <w:r w:rsidRPr="00F97146">
              <w:rPr>
                <w:bCs/>
                <w:iCs w:val="0"/>
                <w:sz w:val="18"/>
                <w:szCs w:val="14"/>
              </w:rPr>
              <w:t>.</w:t>
            </w:r>
          </w:p>
          <w:p w14:paraId="6746EF96" w14:textId="77777777" w:rsidR="00F26E61" w:rsidRPr="00F97146" w:rsidRDefault="00F26E61" w:rsidP="00407A8E">
            <w:pPr>
              <w:spacing w:line="276" w:lineRule="auto"/>
              <w:ind w:left="39"/>
              <w:rPr>
                <w:bCs/>
                <w:iCs w:val="0"/>
                <w:sz w:val="18"/>
                <w:szCs w:val="14"/>
              </w:rPr>
            </w:pPr>
          </w:p>
          <w:p w14:paraId="276230D9" w14:textId="77777777" w:rsidR="00F26E61" w:rsidRPr="00F97146" w:rsidRDefault="00F26E61" w:rsidP="00407A8E">
            <w:pPr>
              <w:spacing w:line="276" w:lineRule="auto"/>
              <w:ind w:left="39"/>
              <w:rPr>
                <w:bCs/>
                <w:iCs w:val="0"/>
                <w:sz w:val="18"/>
                <w:szCs w:val="14"/>
              </w:rPr>
            </w:pPr>
            <w:r w:rsidRPr="00F97146">
              <w:rPr>
                <w:bCs/>
                <w:iCs w:val="0"/>
                <w:sz w:val="18"/>
                <w:szCs w:val="14"/>
              </w:rPr>
              <w:t>The SSCP/SSP cannot be reviewed other than alongside the CER, since it is a summary of the CER. The cost could be reduced by only requiring NB review when the NB would anyway be reviewing the CER. This does not mean that the SSCP cannot be published without this review.</w:t>
            </w:r>
          </w:p>
          <w:p w14:paraId="7CF8C91F" w14:textId="77777777" w:rsidR="00F26E61" w:rsidRPr="00F97146" w:rsidRDefault="00F26E61" w:rsidP="00407A8E">
            <w:pPr>
              <w:spacing w:line="276" w:lineRule="auto"/>
              <w:ind w:left="39"/>
              <w:rPr>
                <w:bCs/>
                <w:iCs w:val="0"/>
                <w:sz w:val="18"/>
                <w:szCs w:val="14"/>
              </w:rPr>
            </w:pPr>
          </w:p>
          <w:p w14:paraId="6F48B7B9" w14:textId="77777777" w:rsidR="00F26E61" w:rsidRPr="00F97146" w:rsidRDefault="00F26E61" w:rsidP="00407A8E">
            <w:pPr>
              <w:spacing w:line="276" w:lineRule="auto"/>
              <w:ind w:left="39"/>
              <w:rPr>
                <w:bCs/>
                <w:iCs w:val="0"/>
                <w:sz w:val="18"/>
                <w:szCs w:val="14"/>
              </w:rPr>
            </w:pPr>
            <w:r w:rsidRPr="00F97146">
              <w:rPr>
                <w:bCs/>
                <w:iCs w:val="0"/>
                <w:sz w:val="18"/>
                <w:szCs w:val="14"/>
              </w:rPr>
              <w:t>As the SSCP/SSP is a summary of the CER/PER, the cost is already low and will decrease further over time due to automation and digitalisation,.</w:t>
            </w:r>
          </w:p>
          <w:p w14:paraId="53BD3203" w14:textId="77777777" w:rsidR="00F26E61" w:rsidRPr="00F97146" w:rsidRDefault="00F26E61" w:rsidP="00407A8E">
            <w:pPr>
              <w:spacing w:line="276" w:lineRule="auto"/>
              <w:ind w:left="39"/>
              <w:rPr>
                <w:bCs/>
                <w:iCs w:val="0"/>
                <w:sz w:val="18"/>
                <w:szCs w:val="14"/>
              </w:rPr>
            </w:pPr>
          </w:p>
          <w:p w14:paraId="1C347608" w14:textId="77777777" w:rsidR="00F26E61" w:rsidRPr="00F97146" w:rsidRDefault="00F26E61" w:rsidP="00407A8E">
            <w:pPr>
              <w:spacing w:line="276" w:lineRule="auto"/>
              <w:ind w:left="39"/>
              <w:rPr>
                <w:bCs/>
                <w:iCs w:val="0"/>
                <w:sz w:val="18"/>
                <w:szCs w:val="14"/>
              </w:rPr>
            </w:pPr>
            <w:r w:rsidRPr="00F97146">
              <w:rPr>
                <w:bCs/>
                <w:iCs w:val="0"/>
                <w:sz w:val="18"/>
                <w:szCs w:val="14"/>
              </w:rPr>
              <w:t xml:space="preserve">The SSCP and SSP are precious tools for transparency and coordination across the healthcare system. They provide patients, the public, healthcare professionals and </w:t>
            </w:r>
            <w:r w:rsidRPr="00F97146">
              <w:rPr>
                <w:bCs/>
                <w:iCs w:val="0"/>
                <w:sz w:val="18"/>
                <w:szCs w:val="14"/>
              </w:rPr>
              <w:lastRenderedPageBreak/>
              <w:t>researchers valuable information that they otherwise cannot access. They provide a valuable method of accountability.</w:t>
            </w:r>
          </w:p>
          <w:p w14:paraId="23A0DBB0" w14:textId="77777777" w:rsidR="00F26E61" w:rsidRPr="00F97146" w:rsidRDefault="00F26E61" w:rsidP="00407A8E">
            <w:pPr>
              <w:spacing w:line="276" w:lineRule="auto"/>
              <w:ind w:left="39"/>
              <w:rPr>
                <w:bCs/>
                <w:iCs w:val="0"/>
                <w:sz w:val="18"/>
                <w:szCs w:val="14"/>
              </w:rPr>
            </w:pPr>
            <w:r w:rsidRPr="00F97146">
              <w:rPr>
                <w:bCs/>
                <w:iCs w:val="0"/>
                <w:sz w:val="18"/>
                <w:szCs w:val="14"/>
              </w:rPr>
              <w:t>The range of devices for which an SSCP/SSP is published should be increased, and if further reductions in NB review are needed to make it viable, that would be preferable.</w:t>
            </w:r>
          </w:p>
          <w:p w14:paraId="6D18AD0D" w14:textId="77777777" w:rsidR="00F26E61" w:rsidRPr="00F97146" w:rsidRDefault="00F26E61" w:rsidP="00407A8E">
            <w:pPr>
              <w:spacing w:line="276" w:lineRule="auto"/>
              <w:ind w:left="39"/>
              <w:rPr>
                <w:bCs/>
                <w:iCs w:val="0"/>
                <w:sz w:val="18"/>
                <w:szCs w:val="14"/>
              </w:rPr>
            </w:pPr>
          </w:p>
          <w:p w14:paraId="66B3BBD0" w14:textId="77777777" w:rsidR="00F26E61" w:rsidRPr="00F97146" w:rsidRDefault="00F26E61" w:rsidP="00407A8E">
            <w:pPr>
              <w:spacing w:line="276" w:lineRule="auto"/>
              <w:rPr>
                <w:bCs/>
                <w:iCs w:val="0"/>
                <w:sz w:val="18"/>
                <w:szCs w:val="14"/>
              </w:rPr>
            </w:pPr>
            <w:r w:rsidRPr="00F97146">
              <w:rPr>
                <w:bCs/>
                <w:iCs w:val="0"/>
                <w:sz w:val="18"/>
                <w:szCs w:val="14"/>
              </w:rPr>
              <w:t>For similar reasons the removal of the requirement for a lay person readable version will lead to a significant deterioration in the value of those SSCP/SSPs that are published and should be reconsidered.</w:t>
            </w:r>
          </w:p>
        </w:tc>
        <w:tc>
          <w:tcPr>
            <w:tcW w:w="5528" w:type="dxa"/>
            <w:tcBorders>
              <w:top w:val="single" w:sz="4" w:space="0" w:color="auto"/>
              <w:left w:val="single" w:sz="4" w:space="0" w:color="auto"/>
              <w:bottom w:val="single" w:sz="4" w:space="0" w:color="auto"/>
              <w:right w:val="single" w:sz="4" w:space="0" w:color="auto"/>
            </w:tcBorders>
          </w:tcPr>
          <w:p w14:paraId="18391094" w14:textId="77777777" w:rsidR="00F26E61" w:rsidRPr="00F97146" w:rsidRDefault="00F26E61" w:rsidP="00407A8E">
            <w:pPr>
              <w:spacing w:line="276" w:lineRule="auto"/>
              <w:ind w:left="25"/>
              <w:rPr>
                <w:bCs/>
                <w:iCs w:val="0"/>
                <w:sz w:val="18"/>
                <w:szCs w:val="14"/>
              </w:rPr>
            </w:pPr>
            <w:r w:rsidRPr="00F97146">
              <w:rPr>
                <w:bCs/>
                <w:iCs w:val="0"/>
                <w:sz w:val="18"/>
                <w:szCs w:val="14"/>
              </w:rPr>
              <w:lastRenderedPageBreak/>
              <w:t>Maintain the proposed changes that remove the requirement for validation by notified bodies of SSCP/SSPs.</w:t>
            </w:r>
          </w:p>
          <w:p w14:paraId="603DB476" w14:textId="77777777" w:rsidR="00F26E61" w:rsidRPr="00F97146" w:rsidRDefault="00F26E61" w:rsidP="00407A8E">
            <w:pPr>
              <w:spacing w:line="276" w:lineRule="auto"/>
              <w:ind w:left="25"/>
              <w:rPr>
                <w:bCs/>
                <w:iCs w:val="0"/>
                <w:sz w:val="18"/>
                <w:szCs w:val="14"/>
              </w:rPr>
            </w:pPr>
          </w:p>
          <w:p w14:paraId="3A4103A3" w14:textId="77777777" w:rsidR="00F26E61" w:rsidRPr="00F97146" w:rsidRDefault="00F26E61" w:rsidP="00407A8E">
            <w:pPr>
              <w:spacing w:line="276" w:lineRule="auto"/>
              <w:ind w:left="25"/>
              <w:rPr>
                <w:bCs/>
                <w:iCs w:val="0"/>
                <w:sz w:val="18"/>
                <w:szCs w:val="14"/>
              </w:rPr>
            </w:pPr>
            <w:r w:rsidRPr="00F97146">
              <w:rPr>
                <w:bCs/>
                <w:iCs w:val="0"/>
                <w:sz w:val="18"/>
                <w:szCs w:val="14"/>
              </w:rPr>
              <w:t>Specify that SSCP and SSP should only be reviewed by the NB when they would have been reviewing the relevant CER/PER anyway, according to a sampling schedule if necessary. Require the SSCPs and SSPs be published by the manufacturer whether they have been reviewed by the NB or not.</w:t>
            </w:r>
          </w:p>
          <w:p w14:paraId="6B3545DA" w14:textId="77777777" w:rsidR="00F26E61" w:rsidRPr="00F97146" w:rsidRDefault="00F26E61" w:rsidP="00407A8E">
            <w:pPr>
              <w:spacing w:line="276" w:lineRule="auto"/>
              <w:ind w:left="25"/>
              <w:rPr>
                <w:bCs/>
                <w:iCs w:val="0"/>
                <w:sz w:val="18"/>
                <w:szCs w:val="14"/>
              </w:rPr>
            </w:pPr>
          </w:p>
          <w:p w14:paraId="75C59A87" w14:textId="77777777" w:rsidR="00F26E61" w:rsidRPr="00F97146" w:rsidRDefault="00F26E61" w:rsidP="00407A8E">
            <w:pPr>
              <w:spacing w:line="276" w:lineRule="auto"/>
              <w:ind w:left="25"/>
              <w:rPr>
                <w:bCs/>
                <w:iCs w:val="0"/>
                <w:sz w:val="18"/>
                <w:szCs w:val="14"/>
              </w:rPr>
            </w:pPr>
            <w:r w:rsidRPr="00F97146">
              <w:rPr>
                <w:bCs/>
                <w:iCs w:val="0"/>
                <w:sz w:val="18"/>
                <w:szCs w:val="14"/>
              </w:rPr>
              <w:t>Increase clarity that SSCP and SSP are a summary of the CER/PER, and therefore minimal additional work should be undertaken, that automated summarisation should be possible.</w:t>
            </w:r>
          </w:p>
          <w:p w14:paraId="38C62142" w14:textId="77777777" w:rsidR="00F26E61" w:rsidRPr="00F97146" w:rsidRDefault="00F26E61" w:rsidP="00407A8E">
            <w:pPr>
              <w:spacing w:line="276" w:lineRule="auto"/>
              <w:ind w:left="25"/>
              <w:rPr>
                <w:bCs/>
                <w:iCs w:val="0"/>
                <w:sz w:val="18"/>
                <w:szCs w:val="14"/>
              </w:rPr>
            </w:pPr>
            <w:r w:rsidRPr="00F97146">
              <w:rPr>
                <w:bCs/>
                <w:iCs w:val="0"/>
                <w:sz w:val="18"/>
                <w:szCs w:val="14"/>
              </w:rPr>
              <w:t>Maintain the requirement for a lay person readable version, if necessary, at the expense of the professional readable version.</w:t>
            </w:r>
          </w:p>
          <w:p w14:paraId="23F6B054" w14:textId="77777777" w:rsidR="00F26E61" w:rsidRPr="00F97146" w:rsidRDefault="00F26E61" w:rsidP="00407A8E">
            <w:pPr>
              <w:spacing w:line="276" w:lineRule="auto"/>
              <w:rPr>
                <w:bCs/>
                <w:iCs w:val="0"/>
                <w:sz w:val="18"/>
                <w:szCs w:val="14"/>
              </w:rPr>
            </w:pPr>
            <w:r w:rsidRPr="00F97146">
              <w:rPr>
                <w:bCs/>
                <w:iCs w:val="0"/>
                <w:sz w:val="18"/>
                <w:szCs w:val="14"/>
              </w:rPr>
              <w:t>Do not reduce the range of devices for which an SSCP/SSP is required; increase this to include more devices, e.g. all class III and IIb devices.</w:t>
            </w:r>
          </w:p>
        </w:tc>
      </w:tr>
      <w:tr w:rsidR="00F26E61" w:rsidRPr="00F97146" w14:paraId="3B6EE823" w14:textId="77777777" w:rsidTr="0022597C">
        <w:tc>
          <w:tcPr>
            <w:tcW w:w="568" w:type="dxa"/>
          </w:tcPr>
          <w:p w14:paraId="62E69F47" w14:textId="77777777" w:rsidR="00F26E61" w:rsidRPr="00F97146" w:rsidRDefault="00F26E61" w:rsidP="00407A8E">
            <w:pPr>
              <w:spacing w:line="276" w:lineRule="auto"/>
              <w:ind w:left="-48" w:firstLine="6"/>
              <w:jc w:val="center"/>
              <w:rPr>
                <w:rFonts w:eastAsia="Segoe UI" w:cs="Segoe UI"/>
                <w:iCs w:val="0"/>
                <w:sz w:val="18"/>
                <w:szCs w:val="14"/>
              </w:rPr>
            </w:pPr>
            <w:r w:rsidRPr="00F97146">
              <w:rPr>
                <w:rFonts w:eastAsia="Segoe UI" w:cs="Segoe UI"/>
                <w:iCs w:val="0"/>
                <w:sz w:val="18"/>
                <w:szCs w:val="14"/>
              </w:rPr>
              <w:t>16</w:t>
            </w:r>
          </w:p>
        </w:tc>
        <w:tc>
          <w:tcPr>
            <w:tcW w:w="1134" w:type="dxa"/>
            <w:tcBorders>
              <w:top w:val="single" w:sz="4" w:space="0" w:color="auto"/>
              <w:left w:val="single" w:sz="4" w:space="0" w:color="auto"/>
              <w:bottom w:val="single" w:sz="4" w:space="0" w:color="auto"/>
              <w:right w:val="single" w:sz="4" w:space="0" w:color="auto"/>
            </w:tcBorders>
          </w:tcPr>
          <w:p w14:paraId="44794D4C" w14:textId="77777777" w:rsidR="00F26E61" w:rsidRPr="00F97146" w:rsidRDefault="00F26E61" w:rsidP="00407A8E">
            <w:pPr>
              <w:spacing w:line="276" w:lineRule="auto"/>
              <w:ind w:left="-48" w:firstLine="6"/>
              <w:jc w:val="center"/>
              <w:rPr>
                <w:bCs/>
                <w:iCs w:val="0"/>
                <w:sz w:val="18"/>
                <w:szCs w:val="14"/>
              </w:rPr>
            </w:pPr>
            <w:r w:rsidRPr="00F97146">
              <w:rPr>
                <w:rFonts w:eastAsia="Segoe UI" w:cs="Segoe UI"/>
                <w:iCs w:val="0"/>
                <w:sz w:val="18"/>
                <w:szCs w:val="14"/>
              </w:rPr>
              <w:t>48</w:t>
            </w:r>
          </w:p>
        </w:tc>
        <w:tc>
          <w:tcPr>
            <w:tcW w:w="1114" w:type="dxa"/>
            <w:tcBorders>
              <w:top w:val="single" w:sz="4" w:space="0" w:color="auto"/>
              <w:left w:val="single" w:sz="4" w:space="0" w:color="auto"/>
              <w:bottom w:val="single" w:sz="4" w:space="0" w:color="auto"/>
              <w:right w:val="single" w:sz="4" w:space="0" w:color="auto"/>
            </w:tcBorders>
          </w:tcPr>
          <w:p w14:paraId="7C9722AA" w14:textId="77777777" w:rsidR="00F26E61" w:rsidRPr="00F97146" w:rsidRDefault="00F26E61" w:rsidP="00407A8E">
            <w:pPr>
              <w:spacing w:line="276" w:lineRule="auto"/>
              <w:ind w:left="75"/>
              <w:jc w:val="center"/>
              <w:rPr>
                <w:bCs/>
                <w:iCs w:val="0"/>
                <w:sz w:val="18"/>
                <w:szCs w:val="14"/>
              </w:rPr>
            </w:pPr>
            <w:r w:rsidRPr="00F97146">
              <w:rPr>
                <w:iCs w:val="0"/>
                <w:sz w:val="18"/>
                <w:szCs w:val="14"/>
                <w:lang w:val="fr-FR"/>
              </w:rPr>
              <w:t>1</w:t>
            </w:r>
          </w:p>
        </w:tc>
        <w:tc>
          <w:tcPr>
            <w:tcW w:w="1134" w:type="dxa"/>
            <w:tcBorders>
              <w:top w:val="single" w:sz="4" w:space="0" w:color="auto"/>
              <w:left w:val="single" w:sz="4" w:space="0" w:color="auto"/>
              <w:bottom w:val="single" w:sz="4" w:space="0" w:color="auto"/>
              <w:right w:val="single" w:sz="4" w:space="0" w:color="auto"/>
            </w:tcBorders>
          </w:tcPr>
          <w:p w14:paraId="4D19CD97" w14:textId="77777777" w:rsidR="00F26E61" w:rsidRPr="00F97146" w:rsidRDefault="00F26E61" w:rsidP="00407A8E">
            <w:pPr>
              <w:spacing w:line="276" w:lineRule="auto"/>
              <w:jc w:val="center"/>
              <w:rPr>
                <w:bCs/>
                <w:iCs w:val="0"/>
                <w:sz w:val="18"/>
                <w:szCs w:val="14"/>
              </w:rPr>
            </w:pPr>
            <w:r w:rsidRPr="00F97146">
              <w:rPr>
                <w:bCs/>
                <w:iCs w:val="0"/>
                <w:sz w:val="18"/>
                <w:szCs w:val="14"/>
              </w:rPr>
              <w:t>24</w:t>
            </w:r>
          </w:p>
        </w:tc>
        <w:tc>
          <w:tcPr>
            <w:tcW w:w="1134" w:type="dxa"/>
            <w:tcBorders>
              <w:top w:val="single" w:sz="4" w:space="0" w:color="auto"/>
              <w:left w:val="single" w:sz="4" w:space="0" w:color="auto"/>
              <w:bottom w:val="single" w:sz="4" w:space="0" w:color="auto"/>
              <w:right w:val="single" w:sz="4" w:space="0" w:color="auto"/>
            </w:tcBorders>
          </w:tcPr>
          <w:p w14:paraId="71F1012E" w14:textId="77777777" w:rsidR="00F26E61" w:rsidRPr="00F97146" w:rsidRDefault="00F26E61" w:rsidP="00407A8E">
            <w:pPr>
              <w:spacing w:line="276" w:lineRule="auto"/>
              <w:ind w:left="14"/>
              <w:jc w:val="center"/>
              <w:rPr>
                <w:b/>
                <w:iCs w:val="0"/>
                <w:sz w:val="18"/>
                <w:szCs w:val="14"/>
              </w:rPr>
            </w:pPr>
          </w:p>
        </w:tc>
        <w:tc>
          <w:tcPr>
            <w:tcW w:w="4840" w:type="dxa"/>
            <w:tcBorders>
              <w:top w:val="single" w:sz="4" w:space="0" w:color="auto"/>
              <w:left w:val="single" w:sz="4" w:space="0" w:color="auto"/>
              <w:bottom w:val="single" w:sz="4" w:space="0" w:color="auto"/>
              <w:right w:val="single" w:sz="4" w:space="0" w:color="auto"/>
            </w:tcBorders>
          </w:tcPr>
          <w:p w14:paraId="45C72E0F" w14:textId="77777777" w:rsidR="00F26E61" w:rsidRPr="00F97146" w:rsidRDefault="00F26E61" w:rsidP="00407A8E">
            <w:pPr>
              <w:rPr>
                <w:rFonts w:eastAsia="Segoe UI" w:cs="Segoe UI"/>
                <w:iCs w:val="0"/>
                <w:sz w:val="18"/>
                <w:szCs w:val="14"/>
              </w:rPr>
            </w:pPr>
            <w:r w:rsidRPr="00F97146">
              <w:rPr>
                <w:rFonts w:eastAsia="Segoe UI" w:cs="Segoe UI"/>
                <w:iCs w:val="0"/>
                <w:sz w:val="18"/>
                <w:szCs w:val="14"/>
              </w:rPr>
              <w:t>Commission proposal (Art 31(1)(2)):</w:t>
            </w:r>
          </w:p>
          <w:p w14:paraId="053EC21B" w14:textId="77777777" w:rsidR="00F26E61" w:rsidRPr="00F97146" w:rsidRDefault="00F26E61" w:rsidP="00407A8E">
            <w:pPr>
              <w:rPr>
                <w:rFonts w:eastAsia="Segoe UI" w:cs="Segoe UI"/>
                <w:i/>
                <w:sz w:val="18"/>
                <w:szCs w:val="14"/>
              </w:rPr>
            </w:pPr>
            <w:r w:rsidRPr="00F97146">
              <w:rPr>
                <w:rFonts w:eastAsia="Segoe UI" w:cs="Segoe UI"/>
                <w:iCs w:val="0"/>
                <w:sz w:val="18"/>
                <w:szCs w:val="14"/>
              </w:rPr>
              <w:t>“</w:t>
            </w:r>
            <w:r w:rsidRPr="00F97146">
              <w:rPr>
                <w:rFonts w:eastAsia="Segoe UI" w:cs="Segoe UI"/>
                <w:i/>
                <w:sz w:val="18"/>
                <w:szCs w:val="14"/>
              </w:rPr>
              <w:t xml:space="preserve">For </w:t>
            </w:r>
            <w:r w:rsidRPr="00F97146">
              <w:rPr>
                <w:rFonts w:eastAsia="Segoe UI" w:cs="Segoe UI"/>
                <w:b/>
                <w:bCs/>
                <w:i/>
                <w:sz w:val="18"/>
                <w:szCs w:val="14"/>
                <w:u w:val="single"/>
              </w:rPr>
              <w:t>class IIb implantable</w:t>
            </w:r>
            <w:r w:rsidRPr="00F97146">
              <w:rPr>
                <w:rFonts w:eastAsia="Segoe UI" w:cs="Segoe UI"/>
                <w:i/>
                <w:sz w:val="18"/>
                <w:szCs w:val="14"/>
              </w:rPr>
              <w:t xml:space="preserve"> devices and for class III devices, </w:t>
            </w:r>
            <w:r w:rsidRPr="00F97146">
              <w:rPr>
                <w:rFonts w:eastAsia="Segoe UI" w:cs="Segoe UI"/>
                <w:b/>
                <w:bCs/>
                <w:i/>
                <w:sz w:val="18"/>
                <w:szCs w:val="14"/>
              </w:rPr>
              <w:t>other</w:t>
            </w:r>
            <w:r w:rsidRPr="00F97146">
              <w:rPr>
                <w:rFonts w:eastAsia="Segoe UI" w:cs="Segoe UI"/>
                <w:i/>
                <w:sz w:val="18"/>
                <w:szCs w:val="14"/>
              </w:rPr>
              <w:t xml:space="preserve"> than custom-made or investigational devices </w:t>
            </w:r>
            <w:r w:rsidRPr="00F97146">
              <w:rPr>
                <w:rFonts w:eastAsia="Segoe UI" w:cs="Segoe UI"/>
                <w:b/>
                <w:bCs/>
                <w:i/>
                <w:sz w:val="18"/>
                <w:szCs w:val="14"/>
              </w:rPr>
              <w:t>and well- established technology devices</w:t>
            </w:r>
            <w:r w:rsidRPr="00F97146">
              <w:rPr>
                <w:rFonts w:eastAsia="Segoe UI" w:cs="Segoe UI"/>
                <w:i/>
                <w:sz w:val="18"/>
                <w:szCs w:val="14"/>
              </w:rPr>
              <w:t>, the manufacturer shall draw up a summary of safety and clinical performance.</w:t>
            </w:r>
          </w:p>
          <w:p w14:paraId="53A93251" w14:textId="77777777" w:rsidR="00F26E61" w:rsidRPr="00F97146" w:rsidRDefault="00F26E61" w:rsidP="00407A8E">
            <w:pPr>
              <w:rPr>
                <w:rFonts w:eastAsia="Segoe UI" w:cs="Segoe UI"/>
                <w:i/>
                <w:sz w:val="18"/>
                <w:szCs w:val="14"/>
              </w:rPr>
            </w:pPr>
          </w:p>
          <w:p w14:paraId="1CFC2339" w14:textId="77777777" w:rsidR="00F26E61" w:rsidRPr="00F97146" w:rsidRDefault="00F26E61" w:rsidP="00407A8E">
            <w:pPr>
              <w:rPr>
                <w:rFonts w:eastAsia="Segoe UI" w:cs="Segoe UI"/>
                <w:iCs w:val="0"/>
                <w:sz w:val="18"/>
                <w:szCs w:val="14"/>
              </w:rPr>
            </w:pPr>
            <w:r w:rsidRPr="00F97146">
              <w:rPr>
                <w:rFonts w:eastAsia="Segoe UI" w:cs="Segoe UI"/>
                <w:i/>
                <w:sz w:val="18"/>
                <w:szCs w:val="14"/>
              </w:rPr>
              <w:t xml:space="preserve">The summary of safety and clinical performance shall be written in a way that is clear to the intended user and, if relevant, to the patient and shall be made available to the public via </w:t>
            </w:r>
            <w:proofErr w:type="spellStart"/>
            <w:r w:rsidRPr="00F97146">
              <w:rPr>
                <w:rFonts w:eastAsia="Segoe UI" w:cs="Segoe UI"/>
                <w:i/>
                <w:sz w:val="18"/>
                <w:szCs w:val="14"/>
              </w:rPr>
              <w:t>Eudamed</w:t>
            </w:r>
            <w:proofErr w:type="spellEnd"/>
            <w:r w:rsidRPr="00F97146">
              <w:rPr>
                <w:rFonts w:eastAsia="Segoe UI" w:cs="Segoe UI"/>
                <w:i/>
                <w:sz w:val="18"/>
                <w:szCs w:val="14"/>
              </w:rPr>
              <w:t>.</w:t>
            </w:r>
            <w:r w:rsidRPr="00F97146">
              <w:rPr>
                <w:rFonts w:eastAsia="Segoe UI" w:cs="Segoe UI"/>
                <w:iCs w:val="0"/>
                <w:sz w:val="18"/>
                <w:szCs w:val="14"/>
              </w:rPr>
              <w:t>”</w:t>
            </w:r>
          </w:p>
          <w:p w14:paraId="0FDFF45D" w14:textId="77777777" w:rsidR="00F26E61" w:rsidRPr="00F97146" w:rsidRDefault="00F26E61" w:rsidP="00407A8E">
            <w:pPr>
              <w:rPr>
                <w:rFonts w:eastAsia="Segoe UI" w:cs="Segoe UI"/>
                <w:iCs w:val="0"/>
                <w:sz w:val="18"/>
                <w:szCs w:val="14"/>
              </w:rPr>
            </w:pPr>
          </w:p>
          <w:p w14:paraId="1DAE3F2C" w14:textId="77777777" w:rsidR="00F26E61" w:rsidRPr="00F97146" w:rsidRDefault="00F26E61" w:rsidP="00407A8E">
            <w:pPr>
              <w:spacing w:line="276" w:lineRule="auto"/>
              <w:ind w:left="39"/>
              <w:rPr>
                <w:bCs/>
                <w:iCs w:val="0"/>
                <w:sz w:val="18"/>
                <w:szCs w:val="14"/>
              </w:rPr>
            </w:pPr>
            <w:r w:rsidRPr="00F97146">
              <w:rPr>
                <w:rFonts w:eastAsia="Segoe UI" w:cs="Segoe UI"/>
                <w:iCs w:val="0"/>
                <w:sz w:val="18"/>
                <w:szCs w:val="14"/>
              </w:rPr>
              <w:t xml:space="preserve">It is not clear why the “lay-person” language versions are deleted in the proposal. </w:t>
            </w:r>
          </w:p>
        </w:tc>
        <w:tc>
          <w:tcPr>
            <w:tcW w:w="5528" w:type="dxa"/>
            <w:tcBorders>
              <w:top w:val="single" w:sz="4" w:space="0" w:color="auto"/>
              <w:left w:val="single" w:sz="4" w:space="0" w:color="auto"/>
              <w:bottom w:val="single" w:sz="4" w:space="0" w:color="auto"/>
              <w:right w:val="single" w:sz="4" w:space="0" w:color="auto"/>
            </w:tcBorders>
          </w:tcPr>
          <w:p w14:paraId="40BA34FB" w14:textId="77777777" w:rsidR="00F26E61" w:rsidRPr="00F97146" w:rsidRDefault="00F26E61" w:rsidP="00407A8E">
            <w:pPr>
              <w:spacing w:line="276" w:lineRule="auto"/>
              <w:rPr>
                <w:rFonts w:eastAsia="Segoe UI" w:cs="Segoe UI"/>
                <w:iCs w:val="0"/>
                <w:sz w:val="18"/>
                <w:szCs w:val="14"/>
              </w:rPr>
            </w:pPr>
            <w:r w:rsidRPr="00F97146">
              <w:rPr>
                <w:rFonts w:eastAsia="Segoe UI" w:cs="Segoe UI"/>
                <w:iCs w:val="0"/>
                <w:sz w:val="18"/>
                <w:szCs w:val="14"/>
              </w:rPr>
              <w:t>Reinstate the existing second paragraph of Art. 32.</w:t>
            </w:r>
          </w:p>
          <w:p w14:paraId="428F4B4A" w14:textId="77777777" w:rsidR="00F26E61" w:rsidRPr="00F97146" w:rsidRDefault="00F26E61" w:rsidP="00407A8E">
            <w:pPr>
              <w:spacing w:line="276" w:lineRule="auto"/>
              <w:rPr>
                <w:rFonts w:eastAsia="Segoe UI" w:cs="Segoe UI"/>
                <w:iCs w:val="0"/>
                <w:sz w:val="18"/>
                <w:szCs w:val="14"/>
              </w:rPr>
            </w:pPr>
          </w:p>
          <w:p w14:paraId="0E482203" w14:textId="77777777" w:rsidR="00F26E61" w:rsidRPr="00F97146" w:rsidRDefault="00F26E61" w:rsidP="00407A8E">
            <w:pPr>
              <w:spacing w:line="276" w:lineRule="auto"/>
              <w:rPr>
                <w:rFonts w:eastAsia="Segoe UI" w:cs="Segoe UI"/>
                <w:iCs w:val="0"/>
                <w:sz w:val="18"/>
                <w:szCs w:val="14"/>
              </w:rPr>
            </w:pPr>
            <w:r w:rsidRPr="00F97146">
              <w:rPr>
                <w:rFonts w:eastAsia="Segoe UI" w:cs="Segoe UI"/>
                <w:iCs w:val="0"/>
                <w:sz w:val="18"/>
                <w:szCs w:val="14"/>
              </w:rPr>
              <w:t xml:space="preserve">The summary of safety and clinical performance shall be written in a way that is clear to the intended user and, if relevant, to the patient. This shall be made available to the public via </w:t>
            </w:r>
            <w:proofErr w:type="spellStart"/>
            <w:r w:rsidRPr="00F97146">
              <w:rPr>
                <w:rFonts w:eastAsia="Segoe UI" w:cs="Segoe UI"/>
                <w:iCs w:val="0"/>
                <w:sz w:val="18"/>
                <w:szCs w:val="14"/>
              </w:rPr>
              <w:t>Eudamed</w:t>
            </w:r>
            <w:proofErr w:type="spellEnd"/>
            <w:r w:rsidRPr="00F97146">
              <w:rPr>
                <w:rFonts w:eastAsia="Segoe UI" w:cs="Segoe UI"/>
                <w:iCs w:val="0"/>
                <w:sz w:val="18"/>
                <w:szCs w:val="14"/>
              </w:rPr>
              <w:t>.</w:t>
            </w:r>
          </w:p>
          <w:p w14:paraId="004D958D" w14:textId="77777777" w:rsidR="00F26E61" w:rsidRPr="00F97146" w:rsidRDefault="00F26E61" w:rsidP="00407A8E">
            <w:pPr>
              <w:spacing w:line="276" w:lineRule="auto"/>
              <w:rPr>
                <w:bCs/>
                <w:iCs w:val="0"/>
                <w:sz w:val="18"/>
                <w:szCs w:val="14"/>
              </w:rPr>
            </w:pPr>
          </w:p>
        </w:tc>
      </w:tr>
      <w:tr w:rsidR="00F26E61" w:rsidRPr="00F97146" w14:paraId="320E2810" w14:textId="77777777" w:rsidTr="0022597C">
        <w:tc>
          <w:tcPr>
            <w:tcW w:w="568" w:type="dxa"/>
          </w:tcPr>
          <w:p w14:paraId="28CC5D1C" w14:textId="77777777" w:rsidR="00F26E61" w:rsidRPr="00F97146" w:rsidRDefault="00F26E61" w:rsidP="00407A8E">
            <w:pPr>
              <w:spacing w:line="276" w:lineRule="auto"/>
              <w:ind w:left="-48" w:firstLine="6"/>
              <w:jc w:val="center"/>
              <w:rPr>
                <w:rFonts w:eastAsia="Segoe UI" w:cs="Segoe UI"/>
                <w:iCs w:val="0"/>
                <w:sz w:val="18"/>
                <w:szCs w:val="14"/>
              </w:rPr>
            </w:pPr>
            <w:r w:rsidRPr="00F97146">
              <w:rPr>
                <w:rFonts w:eastAsia="Segoe UI" w:cs="Segoe UI"/>
                <w:iCs w:val="0"/>
                <w:sz w:val="18"/>
                <w:szCs w:val="14"/>
              </w:rPr>
              <w:t>17</w:t>
            </w:r>
          </w:p>
        </w:tc>
        <w:tc>
          <w:tcPr>
            <w:tcW w:w="1134" w:type="dxa"/>
            <w:tcBorders>
              <w:top w:val="single" w:sz="4" w:space="0" w:color="auto"/>
              <w:left w:val="single" w:sz="4" w:space="0" w:color="auto"/>
              <w:bottom w:val="single" w:sz="4" w:space="0" w:color="auto"/>
              <w:right w:val="single" w:sz="4" w:space="0" w:color="auto"/>
            </w:tcBorders>
          </w:tcPr>
          <w:p w14:paraId="431CCD98" w14:textId="77777777" w:rsidR="00F26E61" w:rsidRPr="00F97146" w:rsidRDefault="00F26E61" w:rsidP="00407A8E">
            <w:pPr>
              <w:spacing w:line="276" w:lineRule="auto"/>
              <w:ind w:left="-48" w:firstLine="6"/>
              <w:jc w:val="center"/>
              <w:rPr>
                <w:rFonts w:cs="Segoe UI"/>
                <w:iCs w:val="0"/>
                <w:sz w:val="18"/>
                <w:szCs w:val="14"/>
              </w:rPr>
            </w:pPr>
            <w:r w:rsidRPr="00F97146">
              <w:rPr>
                <w:rFonts w:eastAsia="Segoe UI" w:cs="Segoe UI"/>
                <w:iCs w:val="0"/>
                <w:sz w:val="18"/>
                <w:szCs w:val="14"/>
              </w:rPr>
              <w:t>54</w:t>
            </w:r>
          </w:p>
        </w:tc>
        <w:tc>
          <w:tcPr>
            <w:tcW w:w="1114" w:type="dxa"/>
            <w:tcBorders>
              <w:top w:val="single" w:sz="4" w:space="0" w:color="auto"/>
              <w:left w:val="single" w:sz="4" w:space="0" w:color="auto"/>
              <w:bottom w:val="single" w:sz="4" w:space="0" w:color="auto"/>
              <w:right w:val="single" w:sz="4" w:space="0" w:color="auto"/>
            </w:tcBorders>
          </w:tcPr>
          <w:p w14:paraId="43081291" w14:textId="77777777" w:rsidR="00F26E61" w:rsidRPr="00F97146" w:rsidRDefault="00F26E61" w:rsidP="00407A8E">
            <w:pPr>
              <w:spacing w:line="276" w:lineRule="auto"/>
              <w:ind w:left="75"/>
              <w:jc w:val="center"/>
              <w:rPr>
                <w:rFonts w:cs="Segoe UI"/>
                <w:iCs w:val="0"/>
                <w:sz w:val="18"/>
                <w:szCs w:val="14"/>
              </w:rPr>
            </w:pPr>
            <w:r w:rsidRPr="00F97146">
              <w:rPr>
                <w:iCs w:val="0"/>
                <w:sz w:val="18"/>
                <w:szCs w:val="14"/>
                <w:lang w:val="fr-FR"/>
              </w:rPr>
              <w:t>1</w:t>
            </w:r>
          </w:p>
        </w:tc>
        <w:tc>
          <w:tcPr>
            <w:tcW w:w="1134" w:type="dxa"/>
            <w:tcBorders>
              <w:top w:val="single" w:sz="4" w:space="0" w:color="auto"/>
              <w:left w:val="single" w:sz="4" w:space="0" w:color="auto"/>
              <w:bottom w:val="single" w:sz="4" w:space="0" w:color="auto"/>
              <w:right w:val="single" w:sz="4" w:space="0" w:color="auto"/>
            </w:tcBorders>
          </w:tcPr>
          <w:p w14:paraId="27BD100E" w14:textId="77777777" w:rsidR="00F26E61" w:rsidRPr="00F97146" w:rsidDel="00A93A22" w:rsidRDefault="00F26E61" w:rsidP="00407A8E">
            <w:pPr>
              <w:spacing w:line="276" w:lineRule="auto"/>
              <w:jc w:val="center"/>
              <w:rPr>
                <w:rFonts w:cs="Segoe UI"/>
                <w:iCs w:val="0"/>
                <w:sz w:val="18"/>
                <w:szCs w:val="14"/>
              </w:rPr>
            </w:pPr>
            <w:r w:rsidRPr="00F97146">
              <w:rPr>
                <w:rFonts w:eastAsia="Segoe UI" w:cs="Segoe UI"/>
                <w:iCs w:val="0"/>
                <w:sz w:val="18"/>
                <w:szCs w:val="14"/>
              </w:rPr>
              <w:t>35</w:t>
            </w:r>
          </w:p>
        </w:tc>
        <w:tc>
          <w:tcPr>
            <w:tcW w:w="1134" w:type="dxa"/>
            <w:tcBorders>
              <w:top w:val="single" w:sz="4" w:space="0" w:color="auto"/>
              <w:left w:val="single" w:sz="4" w:space="0" w:color="auto"/>
              <w:bottom w:val="single" w:sz="4" w:space="0" w:color="auto"/>
              <w:right w:val="single" w:sz="4" w:space="0" w:color="auto"/>
            </w:tcBorders>
          </w:tcPr>
          <w:p w14:paraId="1B1DB896" w14:textId="77777777" w:rsidR="00F26E61" w:rsidRPr="00F97146" w:rsidRDefault="00F26E61" w:rsidP="00407A8E">
            <w:pPr>
              <w:spacing w:line="276" w:lineRule="auto"/>
              <w:ind w:left="14"/>
              <w:jc w:val="center"/>
              <w:rPr>
                <w:rFonts w:eastAsia="Segoe UI" w:cs="Segoe UI"/>
                <w:iCs w:val="0"/>
                <w:sz w:val="18"/>
                <w:szCs w:val="14"/>
              </w:rPr>
            </w:pPr>
          </w:p>
        </w:tc>
        <w:tc>
          <w:tcPr>
            <w:tcW w:w="4840" w:type="dxa"/>
            <w:tcBorders>
              <w:top w:val="single" w:sz="4" w:space="0" w:color="auto"/>
              <w:left w:val="single" w:sz="4" w:space="0" w:color="auto"/>
              <w:bottom w:val="single" w:sz="4" w:space="0" w:color="auto"/>
              <w:right w:val="single" w:sz="4" w:space="0" w:color="auto"/>
            </w:tcBorders>
          </w:tcPr>
          <w:p w14:paraId="5E3F219D" w14:textId="77777777" w:rsidR="00F26E61" w:rsidRPr="00F97146" w:rsidRDefault="00F26E61" w:rsidP="00407A8E">
            <w:pPr>
              <w:rPr>
                <w:rFonts w:eastAsia="Segoe UI" w:cs="Segoe UI"/>
                <w:iCs w:val="0"/>
                <w:sz w:val="18"/>
                <w:szCs w:val="14"/>
              </w:rPr>
            </w:pPr>
            <w:r w:rsidRPr="00F97146">
              <w:rPr>
                <w:rFonts w:eastAsia="Segoe UI" w:cs="Segoe UI"/>
                <w:iCs w:val="0"/>
                <w:sz w:val="18"/>
                <w:szCs w:val="14"/>
              </w:rPr>
              <w:t>Biennial Joint Assessments risk placing NBs in continuous audit state (preparation, duration, and responses) and recurring CAPA cycles, diverting resources away from device-</w:t>
            </w:r>
            <w:r w:rsidRPr="00F97146">
              <w:rPr>
                <w:rFonts w:eastAsia="Segoe UI" w:cs="Segoe UI"/>
                <w:iCs w:val="0"/>
                <w:sz w:val="18"/>
                <w:szCs w:val="14"/>
              </w:rPr>
              <w:lastRenderedPageBreak/>
              <w:t>specific assessments with limited incremental oversight benefit.</w:t>
            </w:r>
          </w:p>
          <w:p w14:paraId="36F97D0C" w14:textId="77777777" w:rsidR="00F26E61" w:rsidRPr="00F97146" w:rsidRDefault="00F26E61" w:rsidP="00407A8E">
            <w:pPr>
              <w:rPr>
                <w:rFonts w:eastAsia="Segoe UI" w:cs="Segoe UI"/>
                <w:iCs w:val="0"/>
                <w:sz w:val="18"/>
                <w:szCs w:val="14"/>
              </w:rPr>
            </w:pPr>
          </w:p>
          <w:p w14:paraId="1C3EF640" w14:textId="77777777" w:rsidR="00F26E61" w:rsidRPr="00F97146" w:rsidRDefault="00F26E61" w:rsidP="00407A8E">
            <w:pPr>
              <w:rPr>
                <w:rFonts w:eastAsia="Segoe UI" w:cs="Segoe UI"/>
                <w:iCs w:val="0"/>
                <w:sz w:val="18"/>
                <w:szCs w:val="14"/>
              </w:rPr>
            </w:pPr>
            <w:r w:rsidRPr="00F97146">
              <w:rPr>
                <w:rFonts w:eastAsia="Segoe UI" w:cs="Segoe UI"/>
                <w:iCs w:val="0"/>
                <w:sz w:val="18"/>
                <w:szCs w:val="14"/>
              </w:rPr>
              <w:t>A more proportionate risk- and performance-based hybrid oversight model (desk-based reviews with targeted on-site visits triggered by defined criteria) would strengthen harmonisation while preserving capacity and predictability.</w:t>
            </w:r>
          </w:p>
          <w:p w14:paraId="3679B444" w14:textId="77777777" w:rsidR="00F26E61" w:rsidRPr="00F97146" w:rsidRDefault="00F26E61" w:rsidP="00407A8E">
            <w:pPr>
              <w:spacing w:before="60"/>
              <w:rPr>
                <w:rFonts w:eastAsia="Segoe UI" w:cs="Segoe UI"/>
                <w:iCs w:val="0"/>
                <w:sz w:val="18"/>
                <w:szCs w:val="14"/>
              </w:rPr>
            </w:pPr>
          </w:p>
          <w:p w14:paraId="76056553" w14:textId="77777777" w:rsidR="00F26E61" w:rsidRPr="00F97146" w:rsidRDefault="00F26E61" w:rsidP="00407A8E">
            <w:pPr>
              <w:spacing w:line="276" w:lineRule="auto"/>
              <w:rPr>
                <w:rFonts w:eastAsia="Segoe UI" w:cs="Segoe UI"/>
                <w:iCs w:val="0"/>
                <w:sz w:val="18"/>
                <w:szCs w:val="14"/>
              </w:rPr>
            </w:pPr>
            <w:r w:rsidRPr="00F97146">
              <w:rPr>
                <w:rFonts w:eastAsia="Segoe UI" w:cs="Segoe UI"/>
                <w:iCs w:val="0"/>
                <w:sz w:val="18"/>
                <w:szCs w:val="14"/>
              </w:rPr>
              <w:t>Where the legal framework proceeds with bi-annual Joint Assessments, routine annual surveillance audits should be removed to avoid duplication. This would ensure proportionality and maintain the capacity of NBs to perform their core conformity assessment tasks. Interim involvement by authorities should be limited to clearly defined “for-cause” triggers.</w:t>
            </w:r>
          </w:p>
          <w:p w14:paraId="480D0C13" w14:textId="77777777" w:rsidR="00F26E61" w:rsidRPr="00F97146" w:rsidRDefault="00F26E61" w:rsidP="00407A8E">
            <w:pPr>
              <w:spacing w:line="276" w:lineRule="auto"/>
              <w:rPr>
                <w:rFonts w:eastAsia="Segoe UI" w:cs="Segoe UI"/>
                <w:iCs w:val="0"/>
                <w:sz w:val="18"/>
                <w:szCs w:val="14"/>
              </w:rPr>
            </w:pPr>
          </w:p>
          <w:p w14:paraId="37951689" w14:textId="77777777" w:rsidR="00F26E61" w:rsidRPr="00F97146" w:rsidRDefault="00F26E61" w:rsidP="00407A8E">
            <w:pPr>
              <w:spacing w:line="276" w:lineRule="auto"/>
              <w:rPr>
                <w:rFonts w:eastAsia="Segoe UI" w:cs="Segoe UI"/>
                <w:iCs w:val="0"/>
                <w:sz w:val="18"/>
                <w:szCs w:val="14"/>
              </w:rPr>
            </w:pPr>
            <w:r w:rsidRPr="00F97146">
              <w:rPr>
                <w:rFonts w:eastAsia="Segoe UI" w:cs="Segoe UI"/>
                <w:iCs w:val="0"/>
                <w:sz w:val="18"/>
                <w:szCs w:val="14"/>
              </w:rPr>
              <w:t>Re-designation/re-assessment audits should not be required. This approach safeguards harmonisation objectives while preventing cumulative and duplicative assessment burdens that detract from Notified Bodies’ core conformity assessment activities.</w:t>
            </w:r>
          </w:p>
        </w:tc>
        <w:tc>
          <w:tcPr>
            <w:tcW w:w="5528" w:type="dxa"/>
            <w:tcBorders>
              <w:top w:val="single" w:sz="4" w:space="0" w:color="auto"/>
              <w:left w:val="single" w:sz="4" w:space="0" w:color="auto"/>
              <w:bottom w:val="single" w:sz="4" w:space="0" w:color="auto"/>
              <w:right w:val="single" w:sz="4" w:space="0" w:color="auto"/>
            </w:tcBorders>
          </w:tcPr>
          <w:p w14:paraId="6D8E533E" w14:textId="77777777" w:rsidR="00F26E61" w:rsidRPr="00F97146" w:rsidRDefault="00F26E61" w:rsidP="00407A8E">
            <w:pPr>
              <w:rPr>
                <w:rFonts w:eastAsia="Segoe UI" w:cs="Segoe UI"/>
                <w:iCs w:val="0"/>
                <w:sz w:val="18"/>
                <w:szCs w:val="14"/>
              </w:rPr>
            </w:pPr>
          </w:p>
          <w:p w14:paraId="081C6AB0" w14:textId="77777777" w:rsidR="00F26E61" w:rsidRPr="00F97146" w:rsidRDefault="00F26E61" w:rsidP="00407A8E">
            <w:pPr>
              <w:rPr>
                <w:rFonts w:eastAsia="Segoe UI" w:cs="Segoe UI"/>
                <w:iCs w:val="0"/>
                <w:sz w:val="18"/>
                <w:szCs w:val="14"/>
              </w:rPr>
            </w:pPr>
          </w:p>
          <w:p w14:paraId="45358A79" w14:textId="77777777" w:rsidR="00F26E61" w:rsidRPr="00F97146" w:rsidRDefault="00F26E61" w:rsidP="00407A8E">
            <w:pPr>
              <w:rPr>
                <w:rFonts w:cs="Segoe UI"/>
                <w:iCs w:val="0"/>
                <w:sz w:val="18"/>
                <w:szCs w:val="14"/>
              </w:rPr>
            </w:pPr>
          </w:p>
        </w:tc>
      </w:tr>
      <w:tr w:rsidR="00F26E61" w:rsidRPr="00F97146" w14:paraId="164D9B6F" w14:textId="77777777" w:rsidTr="0022597C">
        <w:tc>
          <w:tcPr>
            <w:tcW w:w="568" w:type="dxa"/>
          </w:tcPr>
          <w:p w14:paraId="6423BB10" w14:textId="77777777" w:rsidR="00F26E61" w:rsidRPr="00F97146" w:rsidRDefault="00F26E61" w:rsidP="00407A8E">
            <w:pPr>
              <w:spacing w:line="276" w:lineRule="auto"/>
              <w:ind w:left="-48" w:firstLine="6"/>
              <w:jc w:val="center"/>
              <w:rPr>
                <w:rFonts w:cs="Segoe UI"/>
                <w:iCs w:val="0"/>
                <w:sz w:val="18"/>
                <w:szCs w:val="14"/>
              </w:rPr>
            </w:pPr>
            <w:r w:rsidRPr="00F97146">
              <w:rPr>
                <w:rFonts w:cs="Segoe UI"/>
                <w:iCs w:val="0"/>
                <w:sz w:val="18"/>
                <w:szCs w:val="14"/>
              </w:rPr>
              <w:lastRenderedPageBreak/>
              <w:t>18</w:t>
            </w:r>
          </w:p>
        </w:tc>
        <w:tc>
          <w:tcPr>
            <w:tcW w:w="1134" w:type="dxa"/>
            <w:tcBorders>
              <w:top w:val="single" w:sz="4" w:space="0" w:color="auto"/>
              <w:left w:val="single" w:sz="4" w:space="0" w:color="auto"/>
              <w:bottom w:val="single" w:sz="4" w:space="0" w:color="auto"/>
              <w:right w:val="single" w:sz="4" w:space="0" w:color="auto"/>
            </w:tcBorders>
          </w:tcPr>
          <w:p w14:paraId="49CC3911" w14:textId="77777777" w:rsidR="00F26E61" w:rsidRPr="00F97146" w:rsidRDefault="00F26E61" w:rsidP="00407A8E">
            <w:pPr>
              <w:spacing w:line="276" w:lineRule="auto"/>
              <w:ind w:left="-48" w:firstLine="6"/>
              <w:jc w:val="center"/>
              <w:rPr>
                <w:rFonts w:eastAsia="Segoe UI" w:cs="Segoe UI"/>
                <w:iCs w:val="0"/>
                <w:sz w:val="18"/>
                <w:szCs w:val="14"/>
              </w:rPr>
            </w:pPr>
            <w:r w:rsidRPr="00F97146">
              <w:rPr>
                <w:rFonts w:cs="Segoe UI"/>
                <w:iCs w:val="0"/>
                <w:sz w:val="18"/>
                <w:szCs w:val="14"/>
              </w:rPr>
              <w:t>55</w:t>
            </w:r>
          </w:p>
        </w:tc>
        <w:tc>
          <w:tcPr>
            <w:tcW w:w="1114" w:type="dxa"/>
            <w:tcBorders>
              <w:top w:val="single" w:sz="4" w:space="0" w:color="auto"/>
              <w:left w:val="single" w:sz="4" w:space="0" w:color="auto"/>
              <w:bottom w:val="single" w:sz="4" w:space="0" w:color="auto"/>
              <w:right w:val="single" w:sz="4" w:space="0" w:color="auto"/>
            </w:tcBorders>
          </w:tcPr>
          <w:p w14:paraId="3AB61C5D" w14:textId="77777777" w:rsidR="00F26E61" w:rsidRPr="00F97146" w:rsidRDefault="00F26E61" w:rsidP="00407A8E">
            <w:pPr>
              <w:spacing w:line="276" w:lineRule="auto"/>
              <w:ind w:left="75"/>
              <w:jc w:val="center"/>
              <w:rPr>
                <w:rFonts w:eastAsia="Segoe UI" w:cs="Segoe UI"/>
                <w:iCs w:val="0"/>
                <w:sz w:val="18"/>
                <w:szCs w:val="14"/>
              </w:rPr>
            </w:pPr>
            <w:r w:rsidRPr="00F97146">
              <w:rPr>
                <w:rFonts w:cs="Segoe UI"/>
                <w:iCs w:val="0"/>
                <w:sz w:val="18"/>
                <w:szCs w:val="14"/>
              </w:rPr>
              <w:t>1</w:t>
            </w:r>
          </w:p>
        </w:tc>
        <w:tc>
          <w:tcPr>
            <w:tcW w:w="1134" w:type="dxa"/>
            <w:tcBorders>
              <w:top w:val="single" w:sz="4" w:space="0" w:color="auto"/>
              <w:left w:val="single" w:sz="4" w:space="0" w:color="auto"/>
              <w:bottom w:val="single" w:sz="4" w:space="0" w:color="auto"/>
              <w:right w:val="single" w:sz="4" w:space="0" w:color="auto"/>
            </w:tcBorders>
          </w:tcPr>
          <w:p w14:paraId="776AF7CB" w14:textId="77777777" w:rsidR="00F26E61" w:rsidRPr="00F97146" w:rsidRDefault="00F26E61" w:rsidP="00407A8E">
            <w:pPr>
              <w:spacing w:line="276" w:lineRule="auto"/>
              <w:jc w:val="center"/>
              <w:rPr>
                <w:rFonts w:eastAsia="Segoe UI" w:cs="Segoe UI"/>
                <w:iCs w:val="0"/>
                <w:sz w:val="18"/>
                <w:szCs w:val="14"/>
              </w:rPr>
            </w:pPr>
            <w:r w:rsidRPr="00F97146">
              <w:rPr>
                <w:rFonts w:cs="Segoe UI"/>
                <w:iCs w:val="0"/>
                <w:sz w:val="18"/>
                <w:szCs w:val="14"/>
              </w:rPr>
              <w:t>35</w:t>
            </w:r>
          </w:p>
        </w:tc>
        <w:tc>
          <w:tcPr>
            <w:tcW w:w="1134" w:type="dxa"/>
            <w:tcBorders>
              <w:top w:val="single" w:sz="4" w:space="0" w:color="auto"/>
              <w:left w:val="single" w:sz="4" w:space="0" w:color="auto"/>
              <w:bottom w:val="single" w:sz="4" w:space="0" w:color="auto"/>
              <w:right w:val="single" w:sz="4" w:space="0" w:color="auto"/>
            </w:tcBorders>
          </w:tcPr>
          <w:p w14:paraId="5DB1290B" w14:textId="77777777" w:rsidR="00F26E61" w:rsidRPr="00F97146" w:rsidRDefault="00F26E61" w:rsidP="00407A8E">
            <w:pPr>
              <w:spacing w:line="276" w:lineRule="auto"/>
              <w:ind w:left="14"/>
              <w:jc w:val="center"/>
              <w:rPr>
                <w:rFonts w:eastAsia="Segoe UI" w:cs="Segoe UI"/>
                <w:iCs w:val="0"/>
                <w:sz w:val="18"/>
                <w:szCs w:val="14"/>
              </w:rPr>
            </w:pPr>
            <w:r w:rsidRPr="00F97146">
              <w:rPr>
                <w:rFonts w:eastAsia="Segoe UI" w:cs="Segoe UI"/>
                <w:iCs w:val="0"/>
                <w:sz w:val="18"/>
                <w:szCs w:val="14"/>
              </w:rPr>
              <w:t>e</w:t>
            </w:r>
          </w:p>
        </w:tc>
        <w:tc>
          <w:tcPr>
            <w:tcW w:w="4840" w:type="dxa"/>
            <w:tcBorders>
              <w:top w:val="single" w:sz="4" w:space="0" w:color="auto"/>
              <w:left w:val="single" w:sz="4" w:space="0" w:color="auto"/>
              <w:bottom w:val="single" w:sz="4" w:space="0" w:color="auto"/>
              <w:right w:val="single" w:sz="4" w:space="0" w:color="auto"/>
            </w:tcBorders>
          </w:tcPr>
          <w:p w14:paraId="70808666" w14:textId="77777777" w:rsidR="00F26E61" w:rsidRPr="00F97146" w:rsidRDefault="00F26E61" w:rsidP="00407A8E">
            <w:pPr>
              <w:rPr>
                <w:rFonts w:cs="Segoe UI"/>
                <w:iCs w:val="0"/>
                <w:sz w:val="18"/>
                <w:szCs w:val="14"/>
              </w:rPr>
            </w:pPr>
            <w:r w:rsidRPr="00F97146">
              <w:rPr>
                <w:rFonts w:cs="Segoe UI"/>
                <w:iCs w:val="0"/>
                <w:sz w:val="18"/>
                <w:szCs w:val="14"/>
              </w:rPr>
              <w:t>The involvement of the joint assessment team (JAT) every two years is a material resource burden.</w:t>
            </w:r>
          </w:p>
          <w:p w14:paraId="0DB0FD7B" w14:textId="77777777" w:rsidR="00F26E61" w:rsidRPr="00F97146" w:rsidRDefault="00F26E61" w:rsidP="00407A8E">
            <w:pPr>
              <w:rPr>
                <w:rFonts w:cs="Segoe UI"/>
                <w:iCs w:val="0"/>
                <w:sz w:val="18"/>
                <w:szCs w:val="14"/>
              </w:rPr>
            </w:pPr>
          </w:p>
          <w:p w14:paraId="59F90610" w14:textId="77777777" w:rsidR="00F26E61" w:rsidRPr="00F97146" w:rsidRDefault="00F26E61" w:rsidP="00407A8E">
            <w:pPr>
              <w:rPr>
                <w:rFonts w:cs="Segoe UI"/>
                <w:iCs w:val="0"/>
                <w:sz w:val="18"/>
                <w:szCs w:val="14"/>
              </w:rPr>
            </w:pPr>
            <w:r w:rsidRPr="00F97146">
              <w:rPr>
                <w:rFonts w:cs="Segoe UI"/>
                <w:iCs w:val="0"/>
                <w:sz w:val="18"/>
                <w:szCs w:val="14"/>
              </w:rPr>
              <w:lastRenderedPageBreak/>
              <w:t>Monitoring by competent authorities (i.e. annual audits) that take place between the bi-annual reviews should be dropped from the proposal and only be actioned “for cause”.</w:t>
            </w:r>
          </w:p>
          <w:p w14:paraId="416A7E5C" w14:textId="77777777" w:rsidR="00F26E61" w:rsidRPr="00F97146" w:rsidRDefault="00F26E61" w:rsidP="00407A8E">
            <w:pPr>
              <w:rPr>
                <w:rFonts w:cs="Segoe UI"/>
                <w:iCs w:val="0"/>
                <w:sz w:val="18"/>
                <w:szCs w:val="14"/>
              </w:rPr>
            </w:pPr>
          </w:p>
          <w:p w14:paraId="2D7E7480" w14:textId="77777777" w:rsidR="00F26E61" w:rsidRPr="00F97146" w:rsidRDefault="00F26E61" w:rsidP="00407A8E">
            <w:pPr>
              <w:rPr>
                <w:rFonts w:cs="Segoe UI"/>
                <w:iCs w:val="0"/>
                <w:sz w:val="18"/>
                <w:szCs w:val="14"/>
              </w:rPr>
            </w:pPr>
            <w:r w:rsidRPr="00F97146">
              <w:rPr>
                <w:rFonts w:cs="Segoe UI"/>
                <w:iCs w:val="0"/>
                <w:sz w:val="18"/>
                <w:szCs w:val="14"/>
              </w:rPr>
              <w:t>The specific scope of JAT involvement should be made very clear to ensure that it is limited to monitoring rather than re-assessment; and should be proportionate to NB size (based on, for example, number of active certificates).</w:t>
            </w:r>
          </w:p>
          <w:p w14:paraId="67482D9C" w14:textId="77777777" w:rsidR="00F26E61" w:rsidRPr="00F97146" w:rsidRDefault="00F26E61" w:rsidP="00407A8E">
            <w:pPr>
              <w:rPr>
                <w:rFonts w:cs="Segoe UI"/>
                <w:iCs w:val="0"/>
                <w:sz w:val="18"/>
                <w:szCs w:val="14"/>
              </w:rPr>
            </w:pPr>
          </w:p>
          <w:p w14:paraId="570AB514" w14:textId="77777777" w:rsidR="00F26E61" w:rsidRPr="00F97146" w:rsidRDefault="00F26E61" w:rsidP="00407A8E">
            <w:pPr>
              <w:rPr>
                <w:rFonts w:cs="Segoe UI"/>
                <w:iCs w:val="0"/>
                <w:sz w:val="18"/>
                <w:szCs w:val="14"/>
              </w:rPr>
            </w:pPr>
          </w:p>
          <w:p w14:paraId="50D1A053" w14:textId="77777777" w:rsidR="00F26E61" w:rsidRPr="00F97146" w:rsidRDefault="00F26E61" w:rsidP="00407A8E">
            <w:pPr>
              <w:rPr>
                <w:rFonts w:cs="Segoe UI"/>
                <w:iCs w:val="0"/>
                <w:sz w:val="18"/>
                <w:szCs w:val="14"/>
              </w:rPr>
            </w:pPr>
          </w:p>
          <w:p w14:paraId="150064C0" w14:textId="77777777" w:rsidR="00F26E61" w:rsidRPr="00F97146" w:rsidRDefault="00F26E61" w:rsidP="00407A8E">
            <w:pPr>
              <w:rPr>
                <w:rFonts w:cs="Segoe UI"/>
                <w:iCs w:val="0"/>
                <w:sz w:val="18"/>
                <w:szCs w:val="14"/>
              </w:rPr>
            </w:pPr>
          </w:p>
          <w:p w14:paraId="4B25CFFF" w14:textId="77777777" w:rsidR="00F26E61" w:rsidRPr="00F97146" w:rsidRDefault="00F26E61" w:rsidP="00407A8E">
            <w:pPr>
              <w:rPr>
                <w:rFonts w:cs="Segoe UI"/>
                <w:iCs w:val="0"/>
                <w:sz w:val="18"/>
                <w:szCs w:val="14"/>
              </w:rPr>
            </w:pPr>
          </w:p>
          <w:p w14:paraId="04A956F6" w14:textId="77777777" w:rsidR="00F26E61" w:rsidRPr="00F97146" w:rsidRDefault="00F26E61" w:rsidP="00407A8E">
            <w:pPr>
              <w:rPr>
                <w:rFonts w:cs="Segoe UI"/>
                <w:iCs w:val="0"/>
                <w:sz w:val="18"/>
                <w:szCs w:val="14"/>
              </w:rPr>
            </w:pPr>
          </w:p>
          <w:p w14:paraId="6F79CF5D" w14:textId="77777777" w:rsidR="00F26E61" w:rsidRPr="00F97146" w:rsidRDefault="00F26E61" w:rsidP="00407A8E">
            <w:pPr>
              <w:rPr>
                <w:rFonts w:cs="Segoe UI"/>
                <w:iCs w:val="0"/>
                <w:sz w:val="18"/>
                <w:szCs w:val="14"/>
              </w:rPr>
            </w:pPr>
          </w:p>
          <w:p w14:paraId="2F15253D" w14:textId="77777777" w:rsidR="00F26E61" w:rsidRPr="00F97146" w:rsidRDefault="00F26E61" w:rsidP="00407A8E">
            <w:pPr>
              <w:rPr>
                <w:rFonts w:cs="Segoe UI"/>
                <w:iCs w:val="0"/>
                <w:sz w:val="18"/>
                <w:szCs w:val="14"/>
              </w:rPr>
            </w:pPr>
          </w:p>
          <w:p w14:paraId="594251C7" w14:textId="77777777" w:rsidR="00F26E61" w:rsidRPr="00F97146" w:rsidRDefault="00F26E61" w:rsidP="00407A8E">
            <w:pPr>
              <w:rPr>
                <w:rFonts w:cs="Segoe UI"/>
                <w:iCs w:val="0"/>
                <w:sz w:val="18"/>
                <w:szCs w:val="14"/>
              </w:rPr>
            </w:pPr>
          </w:p>
          <w:p w14:paraId="6048171B" w14:textId="77777777" w:rsidR="00F26E61" w:rsidRPr="00F97146" w:rsidRDefault="00F26E61" w:rsidP="00407A8E">
            <w:pPr>
              <w:rPr>
                <w:rFonts w:cs="Segoe UI"/>
                <w:iCs w:val="0"/>
                <w:sz w:val="18"/>
                <w:szCs w:val="14"/>
              </w:rPr>
            </w:pPr>
          </w:p>
          <w:p w14:paraId="48AB6284" w14:textId="77777777" w:rsidR="00F26E61" w:rsidRPr="00F97146" w:rsidRDefault="00F26E61" w:rsidP="00407A8E">
            <w:pPr>
              <w:rPr>
                <w:rFonts w:cs="Segoe UI"/>
                <w:iCs w:val="0"/>
                <w:sz w:val="18"/>
                <w:szCs w:val="14"/>
              </w:rPr>
            </w:pPr>
          </w:p>
          <w:p w14:paraId="71EF3785" w14:textId="77777777" w:rsidR="00F26E61" w:rsidRPr="00F97146" w:rsidRDefault="00F26E61" w:rsidP="00407A8E">
            <w:pPr>
              <w:rPr>
                <w:rFonts w:cs="Segoe UI"/>
                <w:iCs w:val="0"/>
                <w:sz w:val="18"/>
                <w:szCs w:val="14"/>
              </w:rPr>
            </w:pPr>
          </w:p>
          <w:p w14:paraId="0131D3CB" w14:textId="77777777" w:rsidR="00F26E61" w:rsidRPr="00F97146" w:rsidRDefault="00F26E61" w:rsidP="00407A8E">
            <w:pPr>
              <w:rPr>
                <w:rFonts w:cs="Segoe UI"/>
                <w:iCs w:val="0"/>
                <w:sz w:val="18"/>
                <w:szCs w:val="14"/>
              </w:rPr>
            </w:pPr>
          </w:p>
          <w:p w14:paraId="6F96CA91" w14:textId="77777777" w:rsidR="00F26E61" w:rsidRPr="00F97146" w:rsidRDefault="00F26E61" w:rsidP="00407A8E">
            <w:pPr>
              <w:rPr>
                <w:rFonts w:cs="Segoe UI"/>
                <w:iCs w:val="0"/>
                <w:sz w:val="18"/>
                <w:szCs w:val="14"/>
              </w:rPr>
            </w:pPr>
          </w:p>
          <w:p w14:paraId="06E602E2" w14:textId="77777777" w:rsidR="00F26E61" w:rsidRPr="00F97146" w:rsidRDefault="00F26E61" w:rsidP="00407A8E">
            <w:pPr>
              <w:rPr>
                <w:rFonts w:cs="Segoe UI"/>
                <w:iCs w:val="0"/>
                <w:sz w:val="18"/>
                <w:szCs w:val="14"/>
              </w:rPr>
            </w:pPr>
          </w:p>
          <w:p w14:paraId="41094DD3" w14:textId="77777777" w:rsidR="00F26E61" w:rsidRPr="00F97146" w:rsidRDefault="00F26E61" w:rsidP="00407A8E">
            <w:pPr>
              <w:rPr>
                <w:rFonts w:cs="Segoe UI"/>
                <w:iCs w:val="0"/>
                <w:sz w:val="18"/>
                <w:szCs w:val="14"/>
              </w:rPr>
            </w:pPr>
          </w:p>
          <w:p w14:paraId="1CFB7A8F" w14:textId="77777777" w:rsidR="00F26E61" w:rsidRPr="00F97146" w:rsidRDefault="00F26E61" w:rsidP="00407A8E">
            <w:pPr>
              <w:rPr>
                <w:rFonts w:cs="Segoe UI"/>
                <w:iCs w:val="0"/>
                <w:sz w:val="18"/>
                <w:szCs w:val="14"/>
              </w:rPr>
            </w:pPr>
          </w:p>
          <w:p w14:paraId="769990CB" w14:textId="77777777" w:rsidR="00F26E61" w:rsidRPr="00F97146" w:rsidRDefault="00F26E61" w:rsidP="00407A8E">
            <w:pPr>
              <w:spacing w:before="60"/>
              <w:rPr>
                <w:rFonts w:eastAsia="Segoe UI" w:cs="Segoe UI"/>
                <w:iCs w:val="0"/>
                <w:sz w:val="18"/>
                <w:szCs w:val="14"/>
              </w:rPr>
            </w:pPr>
          </w:p>
        </w:tc>
        <w:tc>
          <w:tcPr>
            <w:tcW w:w="5528" w:type="dxa"/>
            <w:tcBorders>
              <w:top w:val="single" w:sz="4" w:space="0" w:color="auto"/>
              <w:left w:val="single" w:sz="4" w:space="0" w:color="auto"/>
              <w:bottom w:val="single" w:sz="4" w:space="0" w:color="auto"/>
              <w:right w:val="single" w:sz="4" w:space="0" w:color="auto"/>
            </w:tcBorders>
          </w:tcPr>
          <w:p w14:paraId="7C54BB92" w14:textId="77777777" w:rsidR="00F26E61" w:rsidRPr="00F97146" w:rsidRDefault="00F26E61" w:rsidP="00407A8E">
            <w:pPr>
              <w:rPr>
                <w:rFonts w:cs="Segoe UI"/>
                <w:iCs w:val="0"/>
                <w:sz w:val="18"/>
                <w:szCs w:val="14"/>
              </w:rPr>
            </w:pPr>
            <w:r w:rsidRPr="00F97146">
              <w:rPr>
                <w:rFonts w:cs="Segoe UI"/>
                <w:iCs w:val="0"/>
                <w:sz w:val="18"/>
                <w:szCs w:val="14"/>
              </w:rPr>
              <w:lastRenderedPageBreak/>
              <w:t>Team NB proposed text (Art 44(4)):</w:t>
            </w:r>
          </w:p>
          <w:p w14:paraId="59ACCBBF" w14:textId="77777777" w:rsidR="00F26E61" w:rsidRPr="00F97146" w:rsidRDefault="00F26E61" w:rsidP="00407A8E">
            <w:pPr>
              <w:rPr>
                <w:rFonts w:cs="Segoe UI"/>
                <w:iCs w:val="0"/>
                <w:sz w:val="18"/>
                <w:szCs w:val="14"/>
              </w:rPr>
            </w:pPr>
            <w:r w:rsidRPr="00F97146">
              <w:rPr>
                <w:rFonts w:cs="Segoe UI"/>
                <w:iCs w:val="0"/>
                <w:sz w:val="18"/>
                <w:szCs w:val="14"/>
              </w:rPr>
              <w:t>“</w:t>
            </w:r>
            <w:r w:rsidRPr="00F97146">
              <w:rPr>
                <w:rFonts w:cs="Segoe UI"/>
                <w:i/>
                <w:sz w:val="18"/>
                <w:szCs w:val="14"/>
              </w:rPr>
              <w:t xml:space="preserve">Only in the event that the relevant authority reasonably suspects a material breach of this Regulation, the authorities responsible for Notified Bodies shall assess whether each Notified Body established on their respective territory and, where appropriate, the subsidiaries and subcontractors under the responsibility of those Notified Bodies </w:t>
            </w:r>
            <w:r w:rsidRPr="00F97146">
              <w:rPr>
                <w:rFonts w:cs="Segoe UI"/>
                <w:i/>
                <w:sz w:val="18"/>
                <w:szCs w:val="14"/>
              </w:rPr>
              <w:lastRenderedPageBreak/>
              <w:t>still satisfy the requirements and fulfil their obligations set out in this Regulation, in particular Annex VII.</w:t>
            </w:r>
            <w:r w:rsidRPr="00F97146">
              <w:rPr>
                <w:rFonts w:cs="Segoe UI"/>
                <w:iCs w:val="0"/>
                <w:sz w:val="18"/>
                <w:szCs w:val="14"/>
              </w:rPr>
              <w:t>”</w:t>
            </w:r>
          </w:p>
          <w:p w14:paraId="55113407" w14:textId="77777777" w:rsidR="00F26E61" w:rsidRPr="00F97146" w:rsidRDefault="00F26E61" w:rsidP="00407A8E">
            <w:pPr>
              <w:rPr>
                <w:rFonts w:cs="Segoe UI"/>
                <w:iCs w:val="0"/>
                <w:sz w:val="18"/>
                <w:szCs w:val="14"/>
              </w:rPr>
            </w:pPr>
          </w:p>
          <w:p w14:paraId="1005E1FD" w14:textId="77777777" w:rsidR="00F26E61" w:rsidRPr="00F97146" w:rsidRDefault="00F26E61" w:rsidP="00407A8E">
            <w:pPr>
              <w:rPr>
                <w:rFonts w:cs="Segoe UI"/>
                <w:iCs w:val="0"/>
                <w:sz w:val="18"/>
                <w:szCs w:val="14"/>
              </w:rPr>
            </w:pPr>
            <w:r w:rsidRPr="00F97146">
              <w:rPr>
                <w:rFonts w:cs="Segoe UI"/>
                <w:iCs w:val="0"/>
                <w:sz w:val="18"/>
                <w:szCs w:val="14"/>
              </w:rPr>
              <w:t>Team NB proposed text (Art 44(4a)):</w:t>
            </w:r>
          </w:p>
          <w:p w14:paraId="4CBB5A89" w14:textId="77777777" w:rsidR="00F26E61" w:rsidRPr="00F97146" w:rsidRDefault="00F26E61" w:rsidP="00407A8E">
            <w:pPr>
              <w:rPr>
                <w:rFonts w:cs="Segoe UI"/>
                <w:b/>
                <w:bCs/>
                <w:iCs w:val="0"/>
                <w:sz w:val="18"/>
                <w:szCs w:val="14"/>
                <w:lang w:val="en-IE"/>
              </w:rPr>
            </w:pPr>
            <w:r w:rsidRPr="00F97146">
              <w:rPr>
                <w:rFonts w:cs="Segoe UI"/>
                <w:b/>
                <w:bCs/>
                <w:iCs w:val="0"/>
                <w:sz w:val="18"/>
                <w:szCs w:val="14"/>
                <w:lang w:val="en-IE"/>
              </w:rPr>
              <w:t>Model 1 – Preferred (Hybrid, risk</w:t>
            </w:r>
            <w:r w:rsidRPr="00F97146">
              <w:rPr>
                <w:rFonts w:cs="Segoe UI"/>
                <w:b/>
                <w:bCs/>
                <w:iCs w:val="0"/>
                <w:sz w:val="18"/>
                <w:szCs w:val="14"/>
                <w:lang w:val="en-IE"/>
              </w:rPr>
              <w:noBreakHyphen/>
              <w:t>based; retains national surveillance)</w:t>
            </w:r>
          </w:p>
          <w:p w14:paraId="4A8D1961" w14:textId="77777777" w:rsidR="00F26E61" w:rsidRPr="00F97146" w:rsidRDefault="00F26E61" w:rsidP="00407A8E">
            <w:pPr>
              <w:rPr>
                <w:rFonts w:cs="Segoe UI"/>
                <w:i/>
                <w:sz w:val="18"/>
                <w:szCs w:val="14"/>
                <w:lang w:val="en-IE"/>
              </w:rPr>
            </w:pPr>
            <w:r w:rsidRPr="00F97146">
              <w:rPr>
                <w:rFonts w:cs="Segoe UI"/>
                <w:b/>
                <w:bCs/>
                <w:iCs w:val="0"/>
                <w:sz w:val="18"/>
                <w:szCs w:val="14"/>
                <w:lang w:val="en-IE"/>
              </w:rPr>
              <w:t>“</w:t>
            </w:r>
            <w:r w:rsidRPr="00F97146">
              <w:rPr>
                <w:rFonts w:cs="Segoe UI"/>
                <w:i/>
                <w:sz w:val="18"/>
                <w:szCs w:val="14"/>
                <w:lang w:val="en-IE"/>
              </w:rPr>
              <w:t>At least every five years, the assessments referred to in Art 44(4) shall be monitored off</w:t>
            </w:r>
            <w:r w:rsidRPr="00F97146">
              <w:rPr>
                <w:rFonts w:cs="Segoe UI"/>
                <w:i/>
                <w:sz w:val="18"/>
                <w:szCs w:val="14"/>
                <w:lang w:val="en-IE"/>
              </w:rPr>
              <w:noBreakHyphen/>
              <w:t>site by a Joint Assessment Team including two experts from the list referred to in Art 40(2), appointed by the Commission in consultation with the MDCG.</w:t>
            </w:r>
          </w:p>
          <w:p w14:paraId="22136F63" w14:textId="77777777" w:rsidR="00F26E61" w:rsidRPr="00F97146" w:rsidRDefault="00F26E61" w:rsidP="00407A8E">
            <w:pPr>
              <w:rPr>
                <w:rFonts w:cs="Segoe UI"/>
                <w:i/>
                <w:sz w:val="18"/>
                <w:szCs w:val="14"/>
                <w:lang w:val="en-IE"/>
              </w:rPr>
            </w:pPr>
          </w:p>
          <w:p w14:paraId="5EA4F7F0" w14:textId="77777777" w:rsidR="00F26E61" w:rsidRPr="00F97146" w:rsidRDefault="00F26E61" w:rsidP="00407A8E">
            <w:pPr>
              <w:rPr>
                <w:rFonts w:cs="Segoe UI"/>
                <w:i/>
                <w:sz w:val="18"/>
                <w:szCs w:val="14"/>
                <w:lang w:val="en-IE"/>
              </w:rPr>
            </w:pPr>
            <w:r w:rsidRPr="00F97146">
              <w:rPr>
                <w:rFonts w:cs="Segoe UI"/>
                <w:i/>
                <w:sz w:val="18"/>
                <w:szCs w:val="14"/>
                <w:lang w:val="en-IE"/>
              </w:rPr>
              <w:t>At least one of those experts shall represent the Commission. The Joint Assessment Team shall be coordinated by the expert representing the Commission.</w:t>
            </w:r>
          </w:p>
          <w:p w14:paraId="79C89D42" w14:textId="77777777" w:rsidR="00F26E61" w:rsidRPr="00F97146" w:rsidRDefault="00F26E61" w:rsidP="00407A8E">
            <w:pPr>
              <w:rPr>
                <w:rFonts w:cs="Segoe UI"/>
                <w:i/>
                <w:sz w:val="18"/>
                <w:szCs w:val="14"/>
                <w:lang w:val="en-IE"/>
              </w:rPr>
            </w:pPr>
          </w:p>
          <w:p w14:paraId="2045DC79" w14:textId="77777777" w:rsidR="00F26E61" w:rsidRPr="00F97146" w:rsidRDefault="00F26E61" w:rsidP="00407A8E">
            <w:pPr>
              <w:rPr>
                <w:rFonts w:cs="Segoe UI"/>
                <w:i/>
                <w:sz w:val="18"/>
                <w:szCs w:val="14"/>
                <w:lang w:val="en-IE"/>
              </w:rPr>
            </w:pPr>
            <w:r w:rsidRPr="00F97146">
              <w:rPr>
                <w:rFonts w:cs="Segoe UI"/>
                <w:i/>
                <w:sz w:val="18"/>
                <w:szCs w:val="14"/>
                <w:lang w:val="en-IE"/>
              </w:rPr>
              <w:t>In duly justified cases, as referred to in Art 44(6), monitoring by the Joint Assessment Team may be performed more frequently and may include for</w:t>
            </w:r>
            <w:r w:rsidRPr="00F97146">
              <w:rPr>
                <w:rFonts w:cs="Segoe UI"/>
                <w:i/>
                <w:sz w:val="18"/>
                <w:szCs w:val="14"/>
                <w:lang w:val="en-IE"/>
              </w:rPr>
              <w:noBreakHyphen/>
              <w:t>cause on</w:t>
            </w:r>
            <w:r w:rsidRPr="00F97146">
              <w:rPr>
                <w:rFonts w:cs="Segoe UI"/>
                <w:i/>
                <w:sz w:val="18"/>
                <w:szCs w:val="14"/>
                <w:lang w:val="en-IE"/>
              </w:rPr>
              <w:noBreakHyphen/>
              <w:t>site assessments, where necessary to address specific issues or verify compliance during the annual assessment of a Notified Body.</w:t>
            </w:r>
          </w:p>
          <w:p w14:paraId="3327CC39" w14:textId="77777777" w:rsidR="00F26E61" w:rsidRPr="00F97146" w:rsidRDefault="00F26E61" w:rsidP="00407A8E">
            <w:pPr>
              <w:rPr>
                <w:rFonts w:cs="Segoe UI"/>
                <w:i/>
                <w:sz w:val="18"/>
                <w:szCs w:val="14"/>
                <w:lang w:val="en-IE"/>
              </w:rPr>
            </w:pPr>
          </w:p>
          <w:p w14:paraId="18D27E60" w14:textId="77777777" w:rsidR="00F26E61" w:rsidRPr="00F97146" w:rsidRDefault="00F26E61" w:rsidP="00407A8E">
            <w:pPr>
              <w:rPr>
                <w:rFonts w:cs="Segoe UI"/>
                <w:iCs w:val="0"/>
                <w:sz w:val="18"/>
                <w:szCs w:val="14"/>
                <w:lang w:val="en-IE"/>
              </w:rPr>
            </w:pPr>
            <w:r w:rsidRPr="00F97146">
              <w:rPr>
                <w:rFonts w:cs="Segoe UI"/>
                <w:i/>
                <w:sz w:val="18"/>
                <w:szCs w:val="14"/>
                <w:lang w:val="en-IE"/>
              </w:rPr>
              <w:t>Where consensus cannot be reached within the Joint Assessment Team, any member may refer the matter to the MDCG, which shall provide its views without undue delay and no later than 60 days from referral</w:t>
            </w:r>
            <w:r w:rsidRPr="00F97146">
              <w:rPr>
                <w:rFonts w:cs="Segoe UI"/>
                <w:iCs w:val="0"/>
                <w:sz w:val="18"/>
                <w:szCs w:val="14"/>
                <w:lang w:val="en-IE"/>
              </w:rPr>
              <w:t>.”</w:t>
            </w:r>
          </w:p>
          <w:p w14:paraId="5E46F048" w14:textId="77777777" w:rsidR="00F26E61" w:rsidRPr="00F97146" w:rsidRDefault="00F26E61" w:rsidP="00407A8E">
            <w:pPr>
              <w:rPr>
                <w:rFonts w:cs="Segoe UI"/>
                <w:iCs w:val="0"/>
                <w:sz w:val="18"/>
                <w:szCs w:val="14"/>
                <w:lang w:val="en-IE"/>
              </w:rPr>
            </w:pPr>
          </w:p>
          <w:p w14:paraId="627CD7F7" w14:textId="77777777" w:rsidR="00F26E61" w:rsidRPr="00F97146" w:rsidRDefault="00F26E61" w:rsidP="00407A8E">
            <w:pPr>
              <w:rPr>
                <w:rFonts w:cs="Segoe UI"/>
                <w:iCs w:val="0"/>
                <w:sz w:val="18"/>
                <w:szCs w:val="14"/>
                <w:lang w:val="en-IE"/>
              </w:rPr>
            </w:pPr>
            <w:r w:rsidRPr="00F97146">
              <w:rPr>
                <w:rFonts w:cs="Segoe UI"/>
                <w:b/>
                <w:bCs/>
                <w:iCs w:val="0"/>
                <w:sz w:val="18"/>
                <w:szCs w:val="14"/>
                <w:lang w:val="en-IE"/>
              </w:rPr>
              <w:lastRenderedPageBreak/>
              <w:t>Rationale:</w:t>
            </w:r>
            <w:r w:rsidRPr="00F97146">
              <w:rPr>
                <w:rFonts w:cs="Segoe UI"/>
                <w:iCs w:val="0"/>
                <w:sz w:val="18"/>
                <w:szCs w:val="14"/>
                <w:lang w:val="en-IE"/>
              </w:rPr>
              <w:br/>
              <w:t>This model preserves preventive oversight, avoids continuous audit readiness, and ensures Joint Assessments are targeted to risk, while maintaining national annual surveillance and protecting NB capacity.</w:t>
            </w:r>
          </w:p>
          <w:p w14:paraId="6A760874" w14:textId="77777777" w:rsidR="00F26E61" w:rsidRPr="00F97146" w:rsidRDefault="00F26E61" w:rsidP="00407A8E">
            <w:pPr>
              <w:rPr>
                <w:rFonts w:cs="Segoe UI"/>
                <w:iCs w:val="0"/>
                <w:sz w:val="18"/>
                <w:szCs w:val="14"/>
                <w:lang w:val="en-IE"/>
              </w:rPr>
            </w:pPr>
          </w:p>
          <w:p w14:paraId="4D2F2F4B" w14:textId="77777777" w:rsidR="00F26E61" w:rsidRPr="00F97146" w:rsidRDefault="00F26E61" w:rsidP="00407A8E">
            <w:pPr>
              <w:rPr>
                <w:rFonts w:cs="Segoe UI"/>
                <w:iCs w:val="0"/>
                <w:sz w:val="18"/>
                <w:szCs w:val="14"/>
                <w:lang w:val="en-IE"/>
              </w:rPr>
            </w:pPr>
            <w:r w:rsidRPr="00F97146">
              <w:rPr>
                <w:rFonts w:cs="Segoe UI"/>
                <w:b/>
                <w:bCs/>
                <w:iCs w:val="0"/>
                <w:sz w:val="18"/>
                <w:szCs w:val="14"/>
                <w:lang w:val="en-IE"/>
              </w:rPr>
              <w:t xml:space="preserve">Or </w:t>
            </w:r>
          </w:p>
          <w:p w14:paraId="26363254" w14:textId="77777777" w:rsidR="00F26E61" w:rsidRPr="00F97146" w:rsidRDefault="00F26E61" w:rsidP="00407A8E">
            <w:pPr>
              <w:rPr>
                <w:rFonts w:cs="Segoe UI"/>
                <w:iCs w:val="0"/>
                <w:sz w:val="18"/>
                <w:szCs w:val="14"/>
                <w:lang w:val="en-IE"/>
              </w:rPr>
            </w:pPr>
          </w:p>
          <w:p w14:paraId="08359171" w14:textId="77777777" w:rsidR="00F26E61" w:rsidRPr="00F97146" w:rsidRDefault="00F26E61" w:rsidP="00407A8E">
            <w:pPr>
              <w:rPr>
                <w:rFonts w:cs="Segoe UI"/>
                <w:i/>
                <w:sz w:val="18"/>
                <w:szCs w:val="14"/>
                <w:lang w:val="en-IE"/>
              </w:rPr>
            </w:pPr>
            <w:r w:rsidRPr="00F97146">
              <w:rPr>
                <w:rFonts w:cs="Segoe UI"/>
                <w:b/>
                <w:iCs w:val="0"/>
                <w:sz w:val="18"/>
                <w:szCs w:val="14"/>
              </w:rPr>
              <w:t>Model 2 – Alternative (Biennial JAT replaces national surveillance)</w:t>
            </w:r>
            <w:r w:rsidRPr="00F97146">
              <w:rPr>
                <w:rFonts w:cs="Segoe UI"/>
                <w:iCs w:val="0"/>
                <w:sz w:val="18"/>
                <w:szCs w:val="14"/>
                <w:lang w:val="en-IE"/>
              </w:rPr>
              <w:br/>
            </w:r>
            <w:r w:rsidRPr="00F97146">
              <w:rPr>
                <w:rFonts w:cs="Segoe UI"/>
                <w:i/>
                <w:sz w:val="18"/>
                <w:szCs w:val="14"/>
                <w:lang w:val="en-IE"/>
              </w:rPr>
              <w:t>“Every two years, the assessments referred to in Art 44(4) shall be monitored by a Joint Assessment Team including two experts from the list referred to in Art 40(2), appointed by the Commission in consultation with the MDCG.</w:t>
            </w:r>
          </w:p>
          <w:p w14:paraId="0A195620" w14:textId="77777777" w:rsidR="00F26E61" w:rsidRPr="00F97146" w:rsidRDefault="00F26E61" w:rsidP="00407A8E">
            <w:pPr>
              <w:rPr>
                <w:rFonts w:cs="Segoe UI"/>
                <w:i/>
                <w:sz w:val="18"/>
                <w:szCs w:val="14"/>
                <w:lang w:val="en-IE"/>
              </w:rPr>
            </w:pPr>
          </w:p>
          <w:p w14:paraId="0909B456" w14:textId="77777777" w:rsidR="00F26E61" w:rsidRPr="00F97146" w:rsidRDefault="00F26E61" w:rsidP="00407A8E">
            <w:pPr>
              <w:rPr>
                <w:rFonts w:cs="Segoe UI"/>
                <w:i/>
                <w:sz w:val="18"/>
                <w:szCs w:val="14"/>
                <w:lang w:val="en-IE"/>
              </w:rPr>
            </w:pPr>
            <w:r w:rsidRPr="00F97146">
              <w:rPr>
                <w:rFonts w:cs="Segoe UI"/>
                <w:i/>
                <w:sz w:val="18"/>
                <w:szCs w:val="14"/>
                <w:lang w:val="en-IE"/>
              </w:rPr>
              <w:t>At least one of those experts shall represent the Commission. The Joint Assessment Team shall be coordinated by the expert representing the Commission.</w:t>
            </w:r>
          </w:p>
          <w:p w14:paraId="54580F3F" w14:textId="77777777" w:rsidR="00F26E61" w:rsidRPr="00F97146" w:rsidRDefault="00F26E61" w:rsidP="00407A8E">
            <w:pPr>
              <w:rPr>
                <w:rFonts w:cs="Segoe UI"/>
                <w:i/>
                <w:sz w:val="18"/>
                <w:szCs w:val="14"/>
                <w:lang w:val="en-IE"/>
              </w:rPr>
            </w:pPr>
          </w:p>
          <w:p w14:paraId="514DD314" w14:textId="77777777" w:rsidR="00F26E61" w:rsidRPr="00F97146" w:rsidRDefault="00F26E61" w:rsidP="00407A8E">
            <w:pPr>
              <w:rPr>
                <w:rFonts w:cs="Segoe UI"/>
                <w:i/>
                <w:sz w:val="18"/>
                <w:szCs w:val="14"/>
                <w:lang w:val="en-IE"/>
              </w:rPr>
            </w:pPr>
            <w:r w:rsidRPr="00F97146">
              <w:rPr>
                <w:rFonts w:cs="Segoe UI"/>
                <w:i/>
                <w:sz w:val="18"/>
                <w:szCs w:val="14"/>
                <w:lang w:val="en-IE"/>
              </w:rPr>
              <w:t>In duly justified cases, as referred to in Art 44(6), monitoring by the national Competent Authority may be performed more frequently and may include for</w:t>
            </w:r>
            <w:r w:rsidRPr="00F97146">
              <w:rPr>
                <w:rFonts w:cs="Segoe UI"/>
                <w:i/>
                <w:sz w:val="18"/>
                <w:szCs w:val="14"/>
                <w:lang w:val="en-IE"/>
              </w:rPr>
              <w:noBreakHyphen/>
              <w:t>cause on</w:t>
            </w:r>
            <w:r w:rsidRPr="00F97146">
              <w:rPr>
                <w:rFonts w:cs="Segoe UI"/>
                <w:i/>
                <w:sz w:val="18"/>
                <w:szCs w:val="14"/>
                <w:lang w:val="en-IE"/>
              </w:rPr>
              <w:noBreakHyphen/>
              <w:t>site assessments, where necessary to address specific issues or verify compliance.</w:t>
            </w:r>
          </w:p>
          <w:p w14:paraId="31A79563" w14:textId="77777777" w:rsidR="00F26E61" w:rsidRPr="00F97146" w:rsidRDefault="00F26E61" w:rsidP="00407A8E">
            <w:pPr>
              <w:rPr>
                <w:rFonts w:cs="Segoe UI"/>
                <w:i/>
                <w:sz w:val="18"/>
                <w:szCs w:val="14"/>
                <w:lang w:val="en-IE"/>
              </w:rPr>
            </w:pPr>
          </w:p>
          <w:p w14:paraId="051AB8C1" w14:textId="77777777" w:rsidR="00F26E61" w:rsidRPr="00F97146" w:rsidRDefault="00F26E61" w:rsidP="00407A8E">
            <w:pPr>
              <w:rPr>
                <w:rFonts w:cs="Segoe UI"/>
                <w:i/>
                <w:sz w:val="18"/>
                <w:szCs w:val="14"/>
                <w:lang w:val="en-IE"/>
              </w:rPr>
            </w:pPr>
            <w:r w:rsidRPr="00F97146">
              <w:rPr>
                <w:rFonts w:cs="Segoe UI"/>
                <w:i/>
                <w:sz w:val="18"/>
                <w:szCs w:val="14"/>
                <w:lang w:val="en-IE"/>
              </w:rPr>
              <w:t>Where consensus cannot be reached within the Joint Assessment Team, any member may refer the matter to the MDCG, which shall provide its views without undue delay and no later than 60 days from referral.”</w:t>
            </w:r>
          </w:p>
          <w:p w14:paraId="6D2E8A05" w14:textId="77777777" w:rsidR="00F26E61" w:rsidRPr="00F97146" w:rsidRDefault="00F26E61" w:rsidP="00407A8E">
            <w:pPr>
              <w:rPr>
                <w:rFonts w:cs="Segoe UI"/>
                <w:b/>
                <w:bCs/>
                <w:iCs w:val="0"/>
                <w:sz w:val="18"/>
                <w:szCs w:val="14"/>
                <w:lang w:val="en-IE"/>
              </w:rPr>
            </w:pPr>
          </w:p>
          <w:p w14:paraId="2D71CDB7" w14:textId="77777777" w:rsidR="00F26E61" w:rsidRPr="00F97146" w:rsidRDefault="00F26E61" w:rsidP="00407A8E">
            <w:pPr>
              <w:rPr>
                <w:rFonts w:cs="Segoe UI"/>
                <w:iCs w:val="0"/>
                <w:sz w:val="18"/>
                <w:szCs w:val="14"/>
                <w:lang w:val="en-IE"/>
              </w:rPr>
            </w:pPr>
            <w:r w:rsidRPr="00F97146">
              <w:rPr>
                <w:rFonts w:cs="Segoe UI"/>
                <w:b/>
                <w:bCs/>
                <w:iCs w:val="0"/>
                <w:sz w:val="18"/>
                <w:szCs w:val="14"/>
                <w:lang w:val="en-IE"/>
              </w:rPr>
              <w:t>Rationale:</w:t>
            </w:r>
            <w:r w:rsidRPr="00F97146">
              <w:rPr>
                <w:rFonts w:cs="Segoe UI"/>
                <w:iCs w:val="0"/>
                <w:sz w:val="18"/>
                <w:szCs w:val="14"/>
                <w:lang w:val="en-IE"/>
              </w:rPr>
              <w:br/>
              <w:t>This model avoids duplication by replacing national surveillance with Joint Assessments but still requires strict proportionality and clear triggering criteria to prevent continuous oversight.</w:t>
            </w:r>
          </w:p>
          <w:p w14:paraId="01EDAE8A" w14:textId="77777777" w:rsidR="00F26E61" w:rsidRPr="00F97146" w:rsidRDefault="00F26E61" w:rsidP="00407A8E">
            <w:pPr>
              <w:spacing w:line="276" w:lineRule="auto"/>
              <w:rPr>
                <w:rFonts w:eastAsia="Segoe UI" w:cs="Segoe UI"/>
                <w:iCs w:val="0"/>
                <w:sz w:val="18"/>
                <w:szCs w:val="14"/>
              </w:rPr>
            </w:pPr>
          </w:p>
        </w:tc>
      </w:tr>
      <w:tr w:rsidR="00F26E61" w:rsidRPr="00F97146" w14:paraId="152EB100" w14:textId="77777777" w:rsidTr="0022597C">
        <w:tc>
          <w:tcPr>
            <w:tcW w:w="568" w:type="dxa"/>
          </w:tcPr>
          <w:p w14:paraId="3A50A6C0" w14:textId="77777777" w:rsidR="00F26E61" w:rsidRPr="00F97146" w:rsidRDefault="00F26E61" w:rsidP="00407A8E">
            <w:pPr>
              <w:spacing w:line="276" w:lineRule="auto"/>
              <w:ind w:left="-48" w:firstLine="6"/>
              <w:jc w:val="center"/>
              <w:rPr>
                <w:iCs w:val="0"/>
                <w:sz w:val="18"/>
                <w:szCs w:val="14"/>
                <w:lang w:val="en-US"/>
              </w:rPr>
            </w:pPr>
            <w:r w:rsidRPr="00F97146">
              <w:rPr>
                <w:iCs w:val="0"/>
                <w:sz w:val="18"/>
                <w:szCs w:val="14"/>
                <w:lang w:val="en-US"/>
              </w:rPr>
              <w:lastRenderedPageBreak/>
              <w:t>19</w:t>
            </w:r>
          </w:p>
        </w:tc>
        <w:tc>
          <w:tcPr>
            <w:tcW w:w="1134" w:type="dxa"/>
            <w:tcBorders>
              <w:top w:val="single" w:sz="4" w:space="0" w:color="auto"/>
              <w:left w:val="single" w:sz="4" w:space="0" w:color="auto"/>
              <w:bottom w:val="single" w:sz="4" w:space="0" w:color="auto"/>
              <w:right w:val="single" w:sz="4" w:space="0" w:color="auto"/>
            </w:tcBorders>
          </w:tcPr>
          <w:p w14:paraId="4319F1C9" w14:textId="77777777" w:rsidR="00F26E61" w:rsidRPr="00F97146" w:rsidRDefault="00F26E61" w:rsidP="00407A8E">
            <w:pPr>
              <w:spacing w:line="276" w:lineRule="auto"/>
              <w:ind w:left="-48" w:firstLine="6"/>
              <w:jc w:val="center"/>
              <w:rPr>
                <w:iCs w:val="0"/>
                <w:sz w:val="18"/>
                <w:szCs w:val="14"/>
                <w:lang w:val="en-US"/>
              </w:rPr>
            </w:pPr>
            <w:r w:rsidRPr="00F97146">
              <w:rPr>
                <w:iCs w:val="0"/>
                <w:sz w:val="18"/>
                <w:szCs w:val="14"/>
                <w:lang w:val="en-US"/>
              </w:rPr>
              <w:t>58, 63, 71, 83, 106, 114, 115 / 6, 31</w:t>
            </w:r>
          </w:p>
        </w:tc>
        <w:tc>
          <w:tcPr>
            <w:tcW w:w="1114" w:type="dxa"/>
            <w:tcBorders>
              <w:top w:val="single" w:sz="4" w:space="0" w:color="auto"/>
              <w:left w:val="single" w:sz="4" w:space="0" w:color="auto"/>
              <w:bottom w:val="single" w:sz="4" w:space="0" w:color="auto"/>
              <w:right w:val="single" w:sz="4" w:space="0" w:color="auto"/>
            </w:tcBorders>
          </w:tcPr>
          <w:p w14:paraId="555D8449" w14:textId="77777777" w:rsidR="00F26E61" w:rsidRPr="00F97146" w:rsidRDefault="00F26E61" w:rsidP="00407A8E">
            <w:pPr>
              <w:spacing w:line="276" w:lineRule="auto"/>
              <w:ind w:left="75"/>
              <w:jc w:val="center"/>
              <w:rPr>
                <w:iCs w:val="0"/>
                <w:sz w:val="18"/>
                <w:szCs w:val="14"/>
                <w:lang w:val="en-US"/>
              </w:rPr>
            </w:pPr>
            <w:r w:rsidRPr="00F97146">
              <w:rPr>
                <w:iCs w:val="0"/>
                <w:sz w:val="18"/>
                <w:szCs w:val="14"/>
                <w:lang w:val="en-US"/>
              </w:rPr>
              <w:t>MDR: 1 / Ann I</w:t>
            </w:r>
          </w:p>
          <w:p w14:paraId="7FA8BD4E" w14:textId="77777777" w:rsidR="00F26E61" w:rsidRPr="00F97146" w:rsidRDefault="00F26E61" w:rsidP="00407A8E">
            <w:pPr>
              <w:spacing w:line="276" w:lineRule="auto"/>
              <w:ind w:left="75"/>
              <w:jc w:val="center"/>
              <w:rPr>
                <w:iCs w:val="0"/>
                <w:sz w:val="18"/>
                <w:szCs w:val="14"/>
                <w:lang w:val="en-US"/>
              </w:rPr>
            </w:pPr>
            <w:r w:rsidRPr="00F97146">
              <w:rPr>
                <w:iCs w:val="0"/>
                <w:sz w:val="18"/>
                <w:szCs w:val="14"/>
                <w:lang w:val="en-US"/>
              </w:rPr>
              <w:t>IVDR: 2 / Ann II</w:t>
            </w:r>
          </w:p>
        </w:tc>
        <w:tc>
          <w:tcPr>
            <w:tcW w:w="1134" w:type="dxa"/>
            <w:tcBorders>
              <w:top w:val="single" w:sz="4" w:space="0" w:color="auto"/>
              <w:left w:val="single" w:sz="4" w:space="0" w:color="auto"/>
              <w:bottom w:val="single" w:sz="4" w:space="0" w:color="auto"/>
              <w:right w:val="single" w:sz="4" w:space="0" w:color="auto"/>
            </w:tcBorders>
          </w:tcPr>
          <w:p w14:paraId="077362E8" w14:textId="77777777" w:rsidR="00F26E61" w:rsidRPr="00F97146" w:rsidRDefault="00F26E61" w:rsidP="00407A8E">
            <w:pPr>
              <w:spacing w:line="276" w:lineRule="auto"/>
              <w:jc w:val="center"/>
              <w:rPr>
                <w:iCs w:val="0"/>
                <w:sz w:val="18"/>
                <w:szCs w:val="14"/>
                <w:lang w:val="en-US"/>
              </w:rPr>
            </w:pPr>
            <w:r w:rsidRPr="00F97146">
              <w:rPr>
                <w:iCs w:val="0"/>
                <w:sz w:val="18"/>
                <w:szCs w:val="14"/>
                <w:lang w:val="en-US"/>
              </w:rPr>
              <w:t>MDR: 40, 44, 52, 86 / 5</w:t>
            </w:r>
          </w:p>
          <w:p w14:paraId="70A624A3" w14:textId="77777777" w:rsidR="00F26E61" w:rsidRPr="00F97146" w:rsidRDefault="00F26E61" w:rsidP="00407A8E">
            <w:pPr>
              <w:spacing w:line="276" w:lineRule="auto"/>
              <w:jc w:val="center"/>
              <w:rPr>
                <w:iCs w:val="0"/>
                <w:sz w:val="18"/>
                <w:szCs w:val="14"/>
                <w:lang w:val="en-US"/>
              </w:rPr>
            </w:pPr>
            <w:r w:rsidRPr="00F97146">
              <w:rPr>
                <w:iCs w:val="0"/>
                <w:sz w:val="18"/>
                <w:szCs w:val="14"/>
                <w:lang w:val="en-US"/>
              </w:rPr>
              <w:t>IVDR: 30, 38, 39 / 5</w:t>
            </w:r>
          </w:p>
        </w:tc>
        <w:tc>
          <w:tcPr>
            <w:tcW w:w="1134" w:type="dxa"/>
            <w:tcBorders>
              <w:top w:val="single" w:sz="4" w:space="0" w:color="auto"/>
              <w:left w:val="single" w:sz="4" w:space="0" w:color="auto"/>
              <w:bottom w:val="single" w:sz="4" w:space="0" w:color="auto"/>
              <w:right w:val="single" w:sz="4" w:space="0" w:color="auto"/>
            </w:tcBorders>
          </w:tcPr>
          <w:p w14:paraId="30D8708F" w14:textId="77777777" w:rsidR="00F26E61" w:rsidRPr="00F97146" w:rsidRDefault="00F26E61" w:rsidP="00407A8E">
            <w:pPr>
              <w:spacing w:line="276" w:lineRule="auto"/>
              <w:ind w:left="14"/>
              <w:jc w:val="center"/>
              <w:rPr>
                <w:iCs w:val="0"/>
                <w:sz w:val="18"/>
                <w:szCs w:val="14"/>
                <w:lang w:val="en-US"/>
              </w:rPr>
            </w:pPr>
          </w:p>
        </w:tc>
        <w:tc>
          <w:tcPr>
            <w:tcW w:w="4840" w:type="dxa"/>
            <w:tcBorders>
              <w:top w:val="single" w:sz="4" w:space="0" w:color="auto"/>
              <w:left w:val="single" w:sz="4" w:space="0" w:color="auto"/>
              <w:bottom w:val="single" w:sz="4" w:space="0" w:color="auto"/>
              <w:right w:val="single" w:sz="4" w:space="0" w:color="auto"/>
            </w:tcBorders>
          </w:tcPr>
          <w:p w14:paraId="7A62F4CA" w14:textId="77777777" w:rsidR="00F26E61" w:rsidRPr="00F97146" w:rsidRDefault="00F26E61" w:rsidP="00407A8E">
            <w:pPr>
              <w:spacing w:line="276" w:lineRule="auto"/>
              <w:rPr>
                <w:bCs/>
                <w:iCs w:val="0"/>
                <w:sz w:val="18"/>
                <w:szCs w:val="14"/>
              </w:rPr>
            </w:pPr>
          </w:p>
        </w:tc>
        <w:tc>
          <w:tcPr>
            <w:tcW w:w="5528" w:type="dxa"/>
            <w:tcBorders>
              <w:top w:val="single" w:sz="4" w:space="0" w:color="auto"/>
              <w:left w:val="single" w:sz="4" w:space="0" w:color="auto"/>
              <w:bottom w:val="single" w:sz="4" w:space="0" w:color="auto"/>
              <w:right w:val="single" w:sz="4" w:space="0" w:color="auto"/>
            </w:tcBorders>
          </w:tcPr>
          <w:p w14:paraId="4155D73A" w14:textId="77777777" w:rsidR="00F26E61" w:rsidRPr="00F97146" w:rsidRDefault="00F26E61" w:rsidP="00407A8E">
            <w:pPr>
              <w:spacing w:line="276" w:lineRule="auto"/>
              <w:rPr>
                <w:bCs/>
                <w:iCs w:val="0"/>
                <w:sz w:val="18"/>
                <w:szCs w:val="14"/>
              </w:rPr>
            </w:pPr>
            <w:r w:rsidRPr="00F97146">
              <w:rPr>
                <w:bCs/>
                <w:iCs w:val="0"/>
                <w:sz w:val="18"/>
                <w:szCs w:val="14"/>
              </w:rPr>
              <w:t>Integration of NBCG</w:t>
            </w:r>
            <w:r w:rsidRPr="00F97146">
              <w:rPr>
                <w:rFonts w:ascii="Cambria Math" w:hAnsi="Cambria Math" w:cs="Cambria Math"/>
                <w:bCs/>
                <w:iCs w:val="0"/>
                <w:sz w:val="18"/>
                <w:szCs w:val="14"/>
              </w:rPr>
              <w:t>‑</w:t>
            </w:r>
            <w:r w:rsidRPr="00F97146">
              <w:rPr>
                <w:bCs/>
                <w:iCs w:val="0"/>
                <w:sz w:val="18"/>
                <w:szCs w:val="14"/>
              </w:rPr>
              <w:t>Med Technical Secretariat Into Medical Device Coordination Office: support from MDCO would be provided with NB coordination, strengthened methodological alignment across NBs, harmonisation of workflows, cross</w:t>
            </w:r>
            <w:r w:rsidRPr="00F97146">
              <w:rPr>
                <w:rFonts w:ascii="Cambria Math" w:hAnsi="Cambria Math" w:cs="Cambria Math"/>
                <w:bCs/>
                <w:iCs w:val="0"/>
                <w:sz w:val="18"/>
                <w:szCs w:val="14"/>
              </w:rPr>
              <w:t>‑</w:t>
            </w:r>
            <w:r w:rsidRPr="00F97146">
              <w:rPr>
                <w:bCs/>
                <w:iCs w:val="0"/>
                <w:sz w:val="18"/>
                <w:szCs w:val="14"/>
              </w:rPr>
              <w:t>NB exchange of best practices, integrated operational support for NB expert contributions, and support for literature-screening methodologies.</w:t>
            </w:r>
          </w:p>
        </w:tc>
      </w:tr>
      <w:tr w:rsidR="00F26E61" w:rsidRPr="00F97146" w14:paraId="643CE5CE" w14:textId="77777777" w:rsidTr="0022597C">
        <w:tc>
          <w:tcPr>
            <w:tcW w:w="568" w:type="dxa"/>
          </w:tcPr>
          <w:p w14:paraId="3B491A2D" w14:textId="77777777" w:rsidR="00F26E61" w:rsidRPr="00F97146" w:rsidRDefault="00F26E61" w:rsidP="00407A8E">
            <w:pPr>
              <w:spacing w:line="276" w:lineRule="auto"/>
              <w:ind w:left="-48" w:firstLine="6"/>
              <w:jc w:val="center"/>
              <w:rPr>
                <w:rFonts w:cs="Segoe UI"/>
                <w:iCs w:val="0"/>
                <w:sz w:val="18"/>
                <w:szCs w:val="14"/>
              </w:rPr>
            </w:pPr>
            <w:r w:rsidRPr="00F97146">
              <w:rPr>
                <w:rFonts w:cs="Segoe UI"/>
                <w:iCs w:val="0"/>
                <w:sz w:val="18"/>
                <w:szCs w:val="14"/>
              </w:rPr>
              <w:t>20</w:t>
            </w:r>
          </w:p>
        </w:tc>
        <w:tc>
          <w:tcPr>
            <w:tcW w:w="1134" w:type="dxa"/>
            <w:tcBorders>
              <w:top w:val="single" w:sz="4" w:space="0" w:color="auto"/>
              <w:left w:val="single" w:sz="4" w:space="0" w:color="auto"/>
              <w:bottom w:val="single" w:sz="4" w:space="0" w:color="auto"/>
              <w:right w:val="single" w:sz="4" w:space="0" w:color="auto"/>
            </w:tcBorders>
          </w:tcPr>
          <w:p w14:paraId="7E7E0DA1" w14:textId="77777777" w:rsidR="00F26E61" w:rsidRPr="00F97146" w:rsidRDefault="00F26E61" w:rsidP="00407A8E">
            <w:pPr>
              <w:spacing w:line="276" w:lineRule="auto"/>
              <w:ind w:left="-48" w:firstLine="6"/>
              <w:jc w:val="center"/>
              <w:rPr>
                <w:iCs w:val="0"/>
                <w:sz w:val="18"/>
                <w:szCs w:val="14"/>
                <w:lang w:val="en-US"/>
              </w:rPr>
            </w:pPr>
            <w:r w:rsidRPr="00F97146">
              <w:rPr>
                <w:rFonts w:cs="Segoe UI"/>
                <w:iCs w:val="0"/>
                <w:sz w:val="18"/>
                <w:szCs w:val="14"/>
              </w:rPr>
              <w:t>58</w:t>
            </w:r>
          </w:p>
        </w:tc>
        <w:tc>
          <w:tcPr>
            <w:tcW w:w="1114" w:type="dxa"/>
            <w:tcBorders>
              <w:top w:val="single" w:sz="4" w:space="0" w:color="auto"/>
              <w:left w:val="single" w:sz="4" w:space="0" w:color="auto"/>
              <w:bottom w:val="single" w:sz="4" w:space="0" w:color="auto"/>
              <w:right w:val="single" w:sz="4" w:space="0" w:color="auto"/>
            </w:tcBorders>
          </w:tcPr>
          <w:p w14:paraId="44DDDF29" w14:textId="77777777" w:rsidR="00F26E61" w:rsidRPr="00F97146" w:rsidRDefault="00F26E61" w:rsidP="00407A8E">
            <w:pPr>
              <w:spacing w:line="276" w:lineRule="auto"/>
              <w:ind w:left="75"/>
              <w:jc w:val="center"/>
              <w:rPr>
                <w:iCs w:val="0"/>
                <w:sz w:val="18"/>
                <w:szCs w:val="14"/>
                <w:lang w:val="fr-FR"/>
              </w:rPr>
            </w:pPr>
            <w:r w:rsidRPr="00F97146">
              <w:rPr>
                <w:iCs w:val="0"/>
                <w:sz w:val="18"/>
                <w:szCs w:val="14"/>
                <w:lang w:val="fr-FR"/>
              </w:rPr>
              <w:t>1</w:t>
            </w:r>
          </w:p>
        </w:tc>
        <w:tc>
          <w:tcPr>
            <w:tcW w:w="1134" w:type="dxa"/>
            <w:tcBorders>
              <w:top w:val="single" w:sz="4" w:space="0" w:color="auto"/>
              <w:left w:val="single" w:sz="4" w:space="0" w:color="auto"/>
              <w:bottom w:val="single" w:sz="4" w:space="0" w:color="auto"/>
              <w:right w:val="single" w:sz="4" w:space="0" w:color="auto"/>
            </w:tcBorders>
          </w:tcPr>
          <w:p w14:paraId="0EC70389" w14:textId="77777777" w:rsidR="00F26E61" w:rsidRPr="00F97146" w:rsidRDefault="00F26E61" w:rsidP="00407A8E">
            <w:pPr>
              <w:spacing w:line="276" w:lineRule="auto"/>
              <w:jc w:val="center"/>
              <w:rPr>
                <w:iCs w:val="0"/>
                <w:sz w:val="18"/>
                <w:szCs w:val="14"/>
                <w:lang w:val="en-US"/>
              </w:rPr>
            </w:pPr>
            <w:r w:rsidRPr="00F97146">
              <w:rPr>
                <w:rFonts w:cs="Segoe UI"/>
                <w:iCs w:val="0"/>
                <w:sz w:val="18"/>
                <w:szCs w:val="14"/>
              </w:rPr>
              <w:t>40</w:t>
            </w:r>
          </w:p>
        </w:tc>
        <w:tc>
          <w:tcPr>
            <w:tcW w:w="1134" w:type="dxa"/>
            <w:tcBorders>
              <w:top w:val="single" w:sz="4" w:space="0" w:color="auto"/>
              <w:left w:val="single" w:sz="4" w:space="0" w:color="auto"/>
              <w:bottom w:val="single" w:sz="4" w:space="0" w:color="auto"/>
              <w:right w:val="single" w:sz="4" w:space="0" w:color="auto"/>
            </w:tcBorders>
          </w:tcPr>
          <w:p w14:paraId="03DF57DE" w14:textId="77777777" w:rsidR="00F26E61" w:rsidRPr="00F97146" w:rsidRDefault="00F26E61" w:rsidP="00407A8E">
            <w:pPr>
              <w:spacing w:line="276" w:lineRule="auto"/>
              <w:ind w:left="14"/>
              <w:jc w:val="center"/>
              <w:rPr>
                <w:iCs w:val="0"/>
                <w:sz w:val="18"/>
                <w:szCs w:val="14"/>
                <w:lang w:val="en-US"/>
              </w:rPr>
            </w:pPr>
          </w:p>
        </w:tc>
        <w:tc>
          <w:tcPr>
            <w:tcW w:w="4840" w:type="dxa"/>
            <w:tcBorders>
              <w:top w:val="single" w:sz="4" w:space="0" w:color="auto"/>
              <w:left w:val="single" w:sz="4" w:space="0" w:color="auto"/>
              <w:bottom w:val="single" w:sz="4" w:space="0" w:color="auto"/>
              <w:right w:val="single" w:sz="4" w:space="0" w:color="auto"/>
            </w:tcBorders>
          </w:tcPr>
          <w:p w14:paraId="2A3AA2DC" w14:textId="77777777" w:rsidR="00F26E61" w:rsidRPr="00F97146" w:rsidRDefault="00F26E61" w:rsidP="00407A8E">
            <w:pPr>
              <w:spacing w:line="276" w:lineRule="auto"/>
              <w:rPr>
                <w:bCs/>
                <w:iCs w:val="0"/>
                <w:sz w:val="18"/>
                <w:szCs w:val="14"/>
              </w:rPr>
            </w:pPr>
            <w:r w:rsidRPr="00F97146">
              <w:rPr>
                <w:rFonts w:cs="Segoe UI"/>
                <w:iCs w:val="0"/>
                <w:sz w:val="18"/>
                <w:szCs w:val="14"/>
              </w:rPr>
              <w:t>This text should be adapted to allow Notified Bodies more flexibility in how they accommodate the interests of small/micro enterprises. Examples could include working more closely with state-backed innovation and enterprise development agencies, reduction in training fees, increased availability of structured dialogues, or greater flexibility in conformity assessment timelines.</w:t>
            </w:r>
          </w:p>
        </w:tc>
        <w:tc>
          <w:tcPr>
            <w:tcW w:w="5528" w:type="dxa"/>
            <w:tcBorders>
              <w:top w:val="single" w:sz="4" w:space="0" w:color="auto"/>
              <w:left w:val="single" w:sz="4" w:space="0" w:color="auto"/>
              <w:bottom w:val="single" w:sz="4" w:space="0" w:color="auto"/>
              <w:right w:val="single" w:sz="4" w:space="0" w:color="auto"/>
            </w:tcBorders>
          </w:tcPr>
          <w:p w14:paraId="2686A924" w14:textId="77777777" w:rsidR="00F26E61" w:rsidRPr="00F97146" w:rsidRDefault="00F26E61" w:rsidP="00407A8E">
            <w:pPr>
              <w:rPr>
                <w:rFonts w:cs="Segoe UI"/>
                <w:iCs w:val="0"/>
                <w:sz w:val="18"/>
                <w:szCs w:val="14"/>
              </w:rPr>
            </w:pPr>
            <w:r w:rsidRPr="00F97146">
              <w:rPr>
                <w:rFonts w:cs="Segoe UI"/>
                <w:iCs w:val="0"/>
                <w:sz w:val="18"/>
                <w:szCs w:val="14"/>
              </w:rPr>
              <w:t>Team NB proposed text (Art 50(2)):</w:t>
            </w:r>
          </w:p>
          <w:p w14:paraId="17138E0A" w14:textId="77777777" w:rsidR="00F26E61" w:rsidRPr="00F97146" w:rsidRDefault="00F26E61" w:rsidP="00407A8E">
            <w:pPr>
              <w:rPr>
                <w:bCs/>
                <w:iCs w:val="0"/>
                <w:sz w:val="18"/>
                <w:szCs w:val="14"/>
              </w:rPr>
            </w:pPr>
            <w:r w:rsidRPr="00F97146">
              <w:rPr>
                <w:rFonts w:cs="Segoe UI"/>
                <w:iCs w:val="0"/>
                <w:sz w:val="18"/>
                <w:szCs w:val="14"/>
              </w:rPr>
              <w:t>“</w:t>
            </w:r>
            <w:r w:rsidRPr="00F97146">
              <w:rPr>
                <w:rFonts w:cs="Segoe UI"/>
                <w:i/>
                <w:sz w:val="18"/>
                <w:szCs w:val="14"/>
              </w:rPr>
              <w:t>Notified bodies shall adopt documented procedures to safeguard the interests of small and micro enterprises within the meaning of Recommendation 2003/361/EC when setting fees and delivering services. Following the end of each financial year, Notified Bodies shall publish reports on their websites outlining the support they have provided to small and micro enterprises.”</w:t>
            </w:r>
          </w:p>
        </w:tc>
      </w:tr>
      <w:tr w:rsidR="00F26E61" w:rsidRPr="00F97146" w14:paraId="0A5062D8" w14:textId="77777777" w:rsidTr="0022597C">
        <w:tc>
          <w:tcPr>
            <w:tcW w:w="568" w:type="dxa"/>
          </w:tcPr>
          <w:p w14:paraId="0F48F751" w14:textId="77777777" w:rsidR="00F26E61" w:rsidRPr="00F97146" w:rsidRDefault="00F26E61" w:rsidP="00407A8E">
            <w:pPr>
              <w:spacing w:line="276" w:lineRule="auto"/>
              <w:ind w:left="-48" w:firstLine="6"/>
              <w:jc w:val="center"/>
              <w:rPr>
                <w:rFonts w:cs="Segoe UI"/>
                <w:iCs w:val="0"/>
                <w:sz w:val="18"/>
                <w:szCs w:val="14"/>
              </w:rPr>
            </w:pPr>
            <w:r w:rsidRPr="00F97146">
              <w:rPr>
                <w:rFonts w:cs="Segoe UI"/>
                <w:iCs w:val="0"/>
                <w:sz w:val="18"/>
                <w:szCs w:val="14"/>
              </w:rPr>
              <w:t>21</w:t>
            </w:r>
          </w:p>
        </w:tc>
        <w:tc>
          <w:tcPr>
            <w:tcW w:w="1134" w:type="dxa"/>
            <w:tcBorders>
              <w:top w:val="single" w:sz="4" w:space="0" w:color="auto"/>
              <w:left w:val="single" w:sz="4" w:space="0" w:color="auto"/>
              <w:bottom w:val="single" w:sz="4" w:space="0" w:color="auto"/>
              <w:right w:val="single" w:sz="4" w:space="0" w:color="auto"/>
            </w:tcBorders>
          </w:tcPr>
          <w:p w14:paraId="7D448BFB" w14:textId="77777777" w:rsidR="00F26E61" w:rsidRPr="00F97146" w:rsidRDefault="00F26E61" w:rsidP="00407A8E">
            <w:pPr>
              <w:spacing w:line="276" w:lineRule="auto"/>
              <w:ind w:left="-48" w:firstLine="6"/>
              <w:jc w:val="center"/>
              <w:rPr>
                <w:rFonts w:cs="Segoe UI"/>
                <w:iCs w:val="0"/>
                <w:sz w:val="18"/>
                <w:szCs w:val="14"/>
              </w:rPr>
            </w:pPr>
            <w:r w:rsidRPr="00F97146">
              <w:rPr>
                <w:rFonts w:cs="Segoe UI"/>
                <w:iCs w:val="0"/>
                <w:sz w:val="18"/>
                <w:szCs w:val="14"/>
              </w:rPr>
              <w:t>58</w:t>
            </w:r>
          </w:p>
        </w:tc>
        <w:tc>
          <w:tcPr>
            <w:tcW w:w="1114" w:type="dxa"/>
            <w:tcBorders>
              <w:top w:val="single" w:sz="4" w:space="0" w:color="auto"/>
              <w:left w:val="single" w:sz="4" w:space="0" w:color="auto"/>
              <w:bottom w:val="single" w:sz="4" w:space="0" w:color="auto"/>
              <w:right w:val="single" w:sz="4" w:space="0" w:color="auto"/>
            </w:tcBorders>
          </w:tcPr>
          <w:p w14:paraId="49BB06CE" w14:textId="77777777" w:rsidR="00F26E61" w:rsidRPr="00F97146" w:rsidRDefault="00F26E61" w:rsidP="00407A8E">
            <w:pPr>
              <w:spacing w:line="276" w:lineRule="auto"/>
              <w:ind w:left="75"/>
              <w:jc w:val="center"/>
              <w:rPr>
                <w:rFonts w:cs="Segoe UI"/>
                <w:iCs w:val="0"/>
                <w:sz w:val="18"/>
                <w:szCs w:val="14"/>
              </w:rPr>
            </w:pPr>
            <w:r w:rsidRPr="00F97146">
              <w:rPr>
                <w:iCs w:val="0"/>
                <w:sz w:val="18"/>
                <w:szCs w:val="14"/>
                <w:lang w:val="fr-FR"/>
              </w:rPr>
              <w:t>1</w:t>
            </w:r>
          </w:p>
        </w:tc>
        <w:tc>
          <w:tcPr>
            <w:tcW w:w="1134" w:type="dxa"/>
            <w:tcBorders>
              <w:top w:val="single" w:sz="4" w:space="0" w:color="auto"/>
              <w:left w:val="single" w:sz="4" w:space="0" w:color="auto"/>
              <w:bottom w:val="single" w:sz="4" w:space="0" w:color="auto"/>
              <w:right w:val="single" w:sz="4" w:space="0" w:color="auto"/>
            </w:tcBorders>
          </w:tcPr>
          <w:p w14:paraId="2700F8F6" w14:textId="77777777" w:rsidR="00F26E61" w:rsidRPr="00F97146" w:rsidRDefault="00F26E61" w:rsidP="00407A8E">
            <w:pPr>
              <w:spacing w:line="276" w:lineRule="auto"/>
              <w:jc w:val="center"/>
              <w:rPr>
                <w:rFonts w:cs="Segoe UI"/>
                <w:iCs w:val="0"/>
                <w:sz w:val="18"/>
                <w:szCs w:val="14"/>
              </w:rPr>
            </w:pPr>
            <w:r w:rsidRPr="00F97146">
              <w:rPr>
                <w:rFonts w:eastAsia="Segoe UI" w:cs="Segoe UI"/>
                <w:iCs w:val="0"/>
                <w:sz w:val="18"/>
                <w:szCs w:val="14"/>
              </w:rPr>
              <w:t>40</w:t>
            </w:r>
          </w:p>
        </w:tc>
        <w:tc>
          <w:tcPr>
            <w:tcW w:w="1134" w:type="dxa"/>
            <w:tcBorders>
              <w:top w:val="single" w:sz="4" w:space="0" w:color="auto"/>
              <w:left w:val="single" w:sz="4" w:space="0" w:color="auto"/>
              <w:bottom w:val="single" w:sz="4" w:space="0" w:color="auto"/>
              <w:right w:val="single" w:sz="4" w:space="0" w:color="auto"/>
            </w:tcBorders>
          </w:tcPr>
          <w:p w14:paraId="6B5BACF6" w14:textId="77777777" w:rsidR="00F26E61" w:rsidRPr="00F97146" w:rsidRDefault="00F26E61" w:rsidP="00407A8E">
            <w:pPr>
              <w:spacing w:line="276" w:lineRule="auto"/>
              <w:ind w:left="14"/>
              <w:jc w:val="center"/>
              <w:rPr>
                <w:rFonts w:cs="Segoe UI"/>
                <w:iCs w:val="0"/>
                <w:sz w:val="18"/>
                <w:szCs w:val="14"/>
              </w:rPr>
            </w:pPr>
          </w:p>
        </w:tc>
        <w:tc>
          <w:tcPr>
            <w:tcW w:w="4840" w:type="dxa"/>
            <w:tcBorders>
              <w:top w:val="single" w:sz="4" w:space="0" w:color="auto"/>
              <w:left w:val="single" w:sz="4" w:space="0" w:color="auto"/>
              <w:bottom w:val="single" w:sz="4" w:space="0" w:color="auto"/>
              <w:right w:val="single" w:sz="4" w:space="0" w:color="auto"/>
            </w:tcBorders>
          </w:tcPr>
          <w:p w14:paraId="37075107" w14:textId="77777777" w:rsidR="00F26E61" w:rsidRPr="00F97146" w:rsidRDefault="00F26E61" w:rsidP="00407A8E">
            <w:pPr>
              <w:spacing w:line="276" w:lineRule="auto"/>
              <w:rPr>
                <w:rFonts w:cs="Segoe UI"/>
                <w:iCs w:val="0"/>
                <w:sz w:val="18"/>
                <w:szCs w:val="14"/>
              </w:rPr>
            </w:pPr>
            <w:r>
              <w:rPr>
                <w:rFonts w:eastAsia="Segoe UI" w:cs="Segoe UI"/>
                <w:iCs w:val="0"/>
                <w:sz w:val="18"/>
                <w:szCs w:val="14"/>
              </w:rPr>
              <w:t>The</w:t>
            </w:r>
            <w:r w:rsidRPr="00F97146">
              <w:rPr>
                <w:rFonts w:eastAsia="Segoe UI" w:cs="Segoe UI"/>
                <w:iCs w:val="0"/>
                <w:sz w:val="18"/>
                <w:szCs w:val="14"/>
              </w:rPr>
              <w:t xml:space="preserve"> proposal focusse</w:t>
            </w:r>
            <w:r>
              <w:rPr>
                <w:rFonts w:eastAsia="Segoe UI" w:cs="Segoe UI"/>
                <w:iCs w:val="0"/>
                <w:sz w:val="18"/>
                <w:szCs w:val="14"/>
              </w:rPr>
              <w:t>s</w:t>
            </w:r>
            <w:r w:rsidRPr="00F97146">
              <w:rPr>
                <w:rFonts w:eastAsia="Segoe UI" w:cs="Segoe UI"/>
                <w:iCs w:val="0"/>
                <w:sz w:val="18"/>
                <w:szCs w:val="14"/>
              </w:rPr>
              <w:t xml:space="preserve"> predominantly on cost savings and efficiency, without a corresponding assessment of impacts on patient safety, risks weakening key MDR/IVDR safeguards and shifting attention away from robust conformity assessment, potentially undermining long-term patient confidence and healthcare outcomes</w:t>
            </w:r>
          </w:p>
        </w:tc>
        <w:tc>
          <w:tcPr>
            <w:tcW w:w="5528" w:type="dxa"/>
            <w:tcBorders>
              <w:top w:val="single" w:sz="4" w:space="0" w:color="auto"/>
              <w:left w:val="single" w:sz="4" w:space="0" w:color="auto"/>
              <w:bottom w:val="single" w:sz="4" w:space="0" w:color="auto"/>
              <w:right w:val="single" w:sz="4" w:space="0" w:color="auto"/>
            </w:tcBorders>
          </w:tcPr>
          <w:p w14:paraId="2EBC5688" w14:textId="77777777" w:rsidR="00F26E61" w:rsidRPr="00F97146" w:rsidRDefault="00F26E61" w:rsidP="00407A8E">
            <w:pPr>
              <w:rPr>
                <w:rFonts w:cs="Segoe UI"/>
                <w:iCs w:val="0"/>
                <w:sz w:val="18"/>
                <w:szCs w:val="14"/>
              </w:rPr>
            </w:pPr>
            <w:r w:rsidRPr="00F97146">
              <w:rPr>
                <w:rFonts w:cs="Segoe UI"/>
                <w:iCs w:val="0"/>
                <w:sz w:val="18"/>
                <w:szCs w:val="14"/>
              </w:rPr>
              <w:t>Any proposed procedural or financial amendments should be accompanied by a structured assessment of their impact on patient safety and overall system performance, ensuring that efficiency measures do not compromise the preventive safeguards established under the MDR/IVDR.</w:t>
            </w:r>
          </w:p>
        </w:tc>
      </w:tr>
      <w:tr w:rsidR="00F26E61" w:rsidRPr="00F97146" w14:paraId="245AC77F" w14:textId="77777777" w:rsidTr="0022597C">
        <w:tc>
          <w:tcPr>
            <w:tcW w:w="568" w:type="dxa"/>
          </w:tcPr>
          <w:p w14:paraId="48ECBE3A" w14:textId="77777777" w:rsidR="00F26E61" w:rsidRPr="00F97146" w:rsidRDefault="00F26E61" w:rsidP="00407A8E">
            <w:pPr>
              <w:spacing w:line="276" w:lineRule="auto"/>
              <w:ind w:left="-48" w:firstLine="6"/>
              <w:jc w:val="center"/>
              <w:rPr>
                <w:rFonts w:cs="Segoe UI"/>
                <w:iCs w:val="0"/>
                <w:sz w:val="18"/>
                <w:szCs w:val="14"/>
              </w:rPr>
            </w:pPr>
            <w:r w:rsidRPr="00F97146">
              <w:rPr>
                <w:rFonts w:cs="Segoe UI"/>
                <w:iCs w:val="0"/>
                <w:sz w:val="18"/>
                <w:szCs w:val="14"/>
              </w:rPr>
              <w:t>22</w:t>
            </w:r>
          </w:p>
        </w:tc>
        <w:tc>
          <w:tcPr>
            <w:tcW w:w="1134" w:type="dxa"/>
            <w:tcBorders>
              <w:top w:val="single" w:sz="4" w:space="0" w:color="auto"/>
              <w:left w:val="single" w:sz="4" w:space="0" w:color="auto"/>
              <w:bottom w:val="single" w:sz="4" w:space="0" w:color="auto"/>
              <w:right w:val="single" w:sz="4" w:space="0" w:color="auto"/>
            </w:tcBorders>
          </w:tcPr>
          <w:p w14:paraId="3D4A9508" w14:textId="77777777" w:rsidR="00F26E61" w:rsidRPr="00F97146" w:rsidRDefault="00F26E61" w:rsidP="00407A8E">
            <w:pPr>
              <w:spacing w:line="276" w:lineRule="auto"/>
              <w:ind w:left="-48" w:firstLine="6"/>
              <w:jc w:val="center"/>
              <w:rPr>
                <w:rFonts w:cs="Segoe UI"/>
                <w:iCs w:val="0"/>
                <w:sz w:val="18"/>
                <w:szCs w:val="14"/>
              </w:rPr>
            </w:pPr>
            <w:r w:rsidRPr="00F97146">
              <w:rPr>
                <w:rFonts w:cs="Segoe UI"/>
                <w:iCs w:val="0"/>
                <w:sz w:val="18"/>
                <w:szCs w:val="14"/>
              </w:rPr>
              <w:t>59</w:t>
            </w:r>
          </w:p>
        </w:tc>
        <w:tc>
          <w:tcPr>
            <w:tcW w:w="1114" w:type="dxa"/>
            <w:tcBorders>
              <w:top w:val="single" w:sz="4" w:space="0" w:color="auto"/>
              <w:left w:val="single" w:sz="4" w:space="0" w:color="auto"/>
              <w:bottom w:val="single" w:sz="4" w:space="0" w:color="auto"/>
              <w:right w:val="single" w:sz="4" w:space="0" w:color="auto"/>
            </w:tcBorders>
          </w:tcPr>
          <w:p w14:paraId="71442533" w14:textId="77777777" w:rsidR="00F26E61" w:rsidRPr="00F97146" w:rsidRDefault="00F26E61" w:rsidP="00407A8E">
            <w:pPr>
              <w:spacing w:line="276" w:lineRule="auto"/>
              <w:ind w:left="75"/>
              <w:jc w:val="center"/>
              <w:rPr>
                <w:rFonts w:cs="Segoe UI"/>
                <w:iCs w:val="0"/>
                <w:sz w:val="18"/>
                <w:szCs w:val="14"/>
              </w:rPr>
            </w:pPr>
            <w:r w:rsidRPr="00F97146">
              <w:rPr>
                <w:iCs w:val="0"/>
                <w:sz w:val="18"/>
                <w:szCs w:val="14"/>
                <w:lang w:val="fr-FR"/>
              </w:rPr>
              <w:t>1</w:t>
            </w:r>
          </w:p>
        </w:tc>
        <w:tc>
          <w:tcPr>
            <w:tcW w:w="1134" w:type="dxa"/>
            <w:tcBorders>
              <w:top w:val="single" w:sz="4" w:space="0" w:color="auto"/>
              <w:left w:val="single" w:sz="4" w:space="0" w:color="auto"/>
              <w:bottom w:val="single" w:sz="4" w:space="0" w:color="auto"/>
              <w:right w:val="single" w:sz="4" w:space="0" w:color="auto"/>
            </w:tcBorders>
          </w:tcPr>
          <w:p w14:paraId="5E5418CD" w14:textId="77777777" w:rsidR="00F26E61" w:rsidRPr="00F97146" w:rsidRDefault="00F26E61" w:rsidP="00407A8E">
            <w:pPr>
              <w:spacing w:line="276" w:lineRule="auto"/>
              <w:jc w:val="center"/>
              <w:rPr>
                <w:rFonts w:cs="Segoe UI"/>
                <w:iCs w:val="0"/>
                <w:sz w:val="18"/>
                <w:szCs w:val="14"/>
              </w:rPr>
            </w:pPr>
            <w:r w:rsidRPr="00F97146">
              <w:rPr>
                <w:rFonts w:cs="Segoe UI"/>
                <w:iCs w:val="0"/>
                <w:sz w:val="18"/>
                <w:szCs w:val="14"/>
              </w:rPr>
              <w:t>40</w:t>
            </w:r>
          </w:p>
        </w:tc>
        <w:tc>
          <w:tcPr>
            <w:tcW w:w="1134" w:type="dxa"/>
            <w:tcBorders>
              <w:top w:val="single" w:sz="4" w:space="0" w:color="auto"/>
              <w:left w:val="single" w:sz="4" w:space="0" w:color="auto"/>
              <w:bottom w:val="single" w:sz="4" w:space="0" w:color="auto"/>
              <w:right w:val="single" w:sz="4" w:space="0" w:color="auto"/>
            </w:tcBorders>
          </w:tcPr>
          <w:p w14:paraId="5B48534D" w14:textId="77777777" w:rsidR="00F26E61" w:rsidRPr="00F97146" w:rsidRDefault="00F26E61" w:rsidP="00407A8E">
            <w:pPr>
              <w:spacing w:line="276" w:lineRule="auto"/>
              <w:ind w:left="14"/>
              <w:jc w:val="center"/>
              <w:rPr>
                <w:rFonts w:cs="Segoe UI"/>
                <w:iCs w:val="0"/>
                <w:sz w:val="18"/>
                <w:szCs w:val="14"/>
              </w:rPr>
            </w:pPr>
          </w:p>
        </w:tc>
        <w:tc>
          <w:tcPr>
            <w:tcW w:w="4840" w:type="dxa"/>
            <w:tcBorders>
              <w:top w:val="single" w:sz="4" w:space="0" w:color="auto"/>
              <w:left w:val="single" w:sz="4" w:space="0" w:color="auto"/>
              <w:bottom w:val="single" w:sz="4" w:space="0" w:color="auto"/>
              <w:right w:val="single" w:sz="4" w:space="0" w:color="auto"/>
            </w:tcBorders>
          </w:tcPr>
          <w:p w14:paraId="00B0A138" w14:textId="77777777" w:rsidR="00F26E61" w:rsidRPr="00F97146" w:rsidRDefault="00F26E61" w:rsidP="00407A8E">
            <w:pPr>
              <w:spacing w:line="276" w:lineRule="auto"/>
              <w:rPr>
                <w:rFonts w:cs="Segoe UI"/>
                <w:iCs w:val="0"/>
                <w:sz w:val="18"/>
                <w:szCs w:val="14"/>
              </w:rPr>
            </w:pPr>
            <w:r w:rsidRPr="00F97146">
              <w:rPr>
                <w:rFonts w:cs="Segoe UI"/>
                <w:iCs w:val="0"/>
                <w:sz w:val="18"/>
                <w:szCs w:val="14"/>
              </w:rPr>
              <w:t xml:space="preserve">The current proposed wording in Art 50(3) is highly detrimental without any demonstrable benefit and therefore should be removed. NBs have committed to a) publishing </w:t>
            </w:r>
            <w:r w:rsidRPr="00F97146">
              <w:rPr>
                <w:rFonts w:cs="Segoe UI"/>
                <w:iCs w:val="0"/>
                <w:sz w:val="18"/>
                <w:szCs w:val="14"/>
              </w:rPr>
              <w:lastRenderedPageBreak/>
              <w:t>fees on their website; and b) reporting on fees to their designating authorities in response to the proposed Ann VII implementing act.</w:t>
            </w:r>
          </w:p>
        </w:tc>
        <w:tc>
          <w:tcPr>
            <w:tcW w:w="5528" w:type="dxa"/>
            <w:tcBorders>
              <w:top w:val="single" w:sz="4" w:space="0" w:color="auto"/>
              <w:left w:val="single" w:sz="4" w:space="0" w:color="auto"/>
              <w:bottom w:val="single" w:sz="4" w:space="0" w:color="auto"/>
              <w:right w:val="single" w:sz="4" w:space="0" w:color="auto"/>
            </w:tcBorders>
          </w:tcPr>
          <w:p w14:paraId="13259892" w14:textId="77777777" w:rsidR="00F26E61" w:rsidRPr="00F97146" w:rsidRDefault="00F26E61" w:rsidP="00407A8E">
            <w:pPr>
              <w:rPr>
                <w:rFonts w:cs="Segoe UI"/>
                <w:iCs w:val="0"/>
                <w:sz w:val="18"/>
                <w:szCs w:val="14"/>
              </w:rPr>
            </w:pPr>
            <w:r w:rsidRPr="00F97146">
              <w:rPr>
                <w:rFonts w:cs="Segoe UI"/>
                <w:iCs w:val="0"/>
                <w:sz w:val="18"/>
                <w:szCs w:val="14"/>
              </w:rPr>
              <w:lastRenderedPageBreak/>
              <w:t>Remove Art 50(3).</w:t>
            </w:r>
          </w:p>
        </w:tc>
      </w:tr>
      <w:tr w:rsidR="00F26E61" w:rsidRPr="00F97146" w14:paraId="3E47FD6F" w14:textId="77777777" w:rsidTr="0022597C">
        <w:tc>
          <w:tcPr>
            <w:tcW w:w="568" w:type="dxa"/>
          </w:tcPr>
          <w:p w14:paraId="49A429CB" w14:textId="77777777" w:rsidR="00F26E61" w:rsidRPr="00F97146" w:rsidRDefault="00F26E61" w:rsidP="00407A8E">
            <w:pPr>
              <w:spacing w:line="276" w:lineRule="auto"/>
              <w:ind w:left="-48" w:firstLine="6"/>
              <w:jc w:val="center"/>
              <w:rPr>
                <w:rFonts w:cs="Segoe UI"/>
                <w:iCs w:val="0"/>
                <w:sz w:val="18"/>
                <w:szCs w:val="14"/>
              </w:rPr>
            </w:pPr>
            <w:r w:rsidRPr="00F97146">
              <w:rPr>
                <w:rFonts w:cs="Segoe UI"/>
                <w:iCs w:val="0"/>
                <w:sz w:val="18"/>
                <w:szCs w:val="14"/>
              </w:rPr>
              <w:t>23</w:t>
            </w:r>
          </w:p>
        </w:tc>
        <w:tc>
          <w:tcPr>
            <w:tcW w:w="1134" w:type="dxa"/>
            <w:tcBorders>
              <w:top w:val="single" w:sz="4" w:space="0" w:color="auto"/>
              <w:left w:val="single" w:sz="4" w:space="0" w:color="auto"/>
              <w:bottom w:val="single" w:sz="4" w:space="0" w:color="auto"/>
              <w:right w:val="single" w:sz="4" w:space="0" w:color="auto"/>
            </w:tcBorders>
          </w:tcPr>
          <w:p w14:paraId="39E419FD" w14:textId="77777777" w:rsidR="00F26E61" w:rsidRPr="00F97146" w:rsidRDefault="00F26E61" w:rsidP="00407A8E">
            <w:pPr>
              <w:spacing w:line="276" w:lineRule="auto"/>
              <w:ind w:left="-48" w:firstLine="6"/>
              <w:jc w:val="center"/>
              <w:rPr>
                <w:rFonts w:cs="Segoe UI"/>
                <w:iCs w:val="0"/>
                <w:sz w:val="18"/>
                <w:szCs w:val="14"/>
              </w:rPr>
            </w:pPr>
            <w:r w:rsidRPr="00F97146">
              <w:rPr>
                <w:rFonts w:cs="Segoe UI"/>
                <w:iCs w:val="0"/>
                <w:sz w:val="18"/>
                <w:szCs w:val="14"/>
              </w:rPr>
              <w:t>59</w:t>
            </w:r>
          </w:p>
        </w:tc>
        <w:tc>
          <w:tcPr>
            <w:tcW w:w="1114" w:type="dxa"/>
            <w:tcBorders>
              <w:top w:val="single" w:sz="4" w:space="0" w:color="auto"/>
              <w:left w:val="single" w:sz="4" w:space="0" w:color="auto"/>
              <w:bottom w:val="single" w:sz="4" w:space="0" w:color="auto"/>
              <w:right w:val="single" w:sz="4" w:space="0" w:color="auto"/>
            </w:tcBorders>
          </w:tcPr>
          <w:p w14:paraId="7EC5DAC5" w14:textId="77777777" w:rsidR="00F26E61" w:rsidRPr="00F97146" w:rsidRDefault="00F26E61" w:rsidP="00407A8E">
            <w:pPr>
              <w:spacing w:line="276" w:lineRule="auto"/>
              <w:ind w:left="75"/>
              <w:jc w:val="center"/>
              <w:rPr>
                <w:rFonts w:cs="Segoe UI"/>
                <w:iCs w:val="0"/>
                <w:sz w:val="18"/>
                <w:szCs w:val="14"/>
              </w:rPr>
            </w:pPr>
            <w:r w:rsidRPr="00F97146">
              <w:rPr>
                <w:iCs w:val="0"/>
                <w:sz w:val="18"/>
                <w:szCs w:val="14"/>
                <w:lang w:val="fr-FR"/>
              </w:rPr>
              <w:t>1</w:t>
            </w:r>
          </w:p>
        </w:tc>
        <w:tc>
          <w:tcPr>
            <w:tcW w:w="1134" w:type="dxa"/>
            <w:tcBorders>
              <w:top w:val="single" w:sz="4" w:space="0" w:color="auto"/>
              <w:left w:val="single" w:sz="4" w:space="0" w:color="auto"/>
              <w:bottom w:val="single" w:sz="4" w:space="0" w:color="auto"/>
              <w:right w:val="single" w:sz="4" w:space="0" w:color="auto"/>
            </w:tcBorders>
          </w:tcPr>
          <w:p w14:paraId="0766ABEF" w14:textId="77777777" w:rsidR="00F26E61" w:rsidRPr="00F97146" w:rsidRDefault="00F26E61" w:rsidP="00407A8E">
            <w:pPr>
              <w:spacing w:line="276" w:lineRule="auto"/>
              <w:jc w:val="center"/>
              <w:rPr>
                <w:rFonts w:cs="Segoe UI"/>
                <w:iCs w:val="0"/>
                <w:sz w:val="18"/>
                <w:szCs w:val="14"/>
              </w:rPr>
            </w:pPr>
            <w:r w:rsidRPr="00F97146">
              <w:rPr>
                <w:rFonts w:eastAsia="Segoe UI" w:cs="Segoe UI"/>
                <w:iCs w:val="0"/>
                <w:sz w:val="18"/>
                <w:szCs w:val="14"/>
              </w:rPr>
              <w:t>40</w:t>
            </w:r>
          </w:p>
        </w:tc>
        <w:tc>
          <w:tcPr>
            <w:tcW w:w="1134" w:type="dxa"/>
            <w:tcBorders>
              <w:top w:val="single" w:sz="4" w:space="0" w:color="auto"/>
              <w:left w:val="single" w:sz="4" w:space="0" w:color="auto"/>
              <w:bottom w:val="single" w:sz="4" w:space="0" w:color="auto"/>
              <w:right w:val="single" w:sz="4" w:space="0" w:color="auto"/>
            </w:tcBorders>
          </w:tcPr>
          <w:p w14:paraId="08DEA6C0" w14:textId="77777777" w:rsidR="00F26E61" w:rsidRPr="00F97146" w:rsidRDefault="00F26E61" w:rsidP="00407A8E">
            <w:pPr>
              <w:spacing w:line="276" w:lineRule="auto"/>
              <w:ind w:left="14"/>
              <w:jc w:val="center"/>
              <w:rPr>
                <w:rFonts w:cs="Segoe UI"/>
                <w:iCs w:val="0"/>
                <w:sz w:val="18"/>
                <w:szCs w:val="14"/>
              </w:rPr>
            </w:pPr>
          </w:p>
        </w:tc>
        <w:tc>
          <w:tcPr>
            <w:tcW w:w="4840" w:type="dxa"/>
            <w:tcBorders>
              <w:top w:val="single" w:sz="4" w:space="0" w:color="auto"/>
              <w:left w:val="single" w:sz="4" w:space="0" w:color="auto"/>
              <w:bottom w:val="single" w:sz="4" w:space="0" w:color="auto"/>
              <w:right w:val="single" w:sz="4" w:space="0" w:color="auto"/>
            </w:tcBorders>
          </w:tcPr>
          <w:p w14:paraId="60AFCCB2" w14:textId="77777777" w:rsidR="00F26E61" w:rsidRPr="00F97146" w:rsidRDefault="00F26E61" w:rsidP="00407A8E">
            <w:pPr>
              <w:spacing w:line="276" w:lineRule="auto"/>
              <w:rPr>
                <w:rFonts w:cs="Segoe UI"/>
                <w:iCs w:val="0"/>
                <w:sz w:val="18"/>
                <w:szCs w:val="14"/>
              </w:rPr>
            </w:pPr>
            <w:r w:rsidRPr="00F97146">
              <w:rPr>
                <w:rFonts w:eastAsia="Segoe UI" w:cs="Segoe UI"/>
                <w:iCs w:val="0"/>
                <w:sz w:val="18"/>
                <w:szCs w:val="14"/>
              </w:rPr>
              <w:t>The proposal to impose specific conformity assessment approaches raises unresolved questions regarding liability, impartiality, and NB independence, and risks constraining the application of risk-based judgment foreseen under the MDR/IVDR; prescriptive imposition rather than adherence to existing regulatory requirements may reduce flexibility needed to ensure appropriate, device-specific safety evaluations and market stability.</w:t>
            </w:r>
          </w:p>
        </w:tc>
        <w:tc>
          <w:tcPr>
            <w:tcW w:w="5528" w:type="dxa"/>
            <w:tcBorders>
              <w:top w:val="single" w:sz="4" w:space="0" w:color="auto"/>
              <w:left w:val="single" w:sz="4" w:space="0" w:color="auto"/>
              <w:bottom w:val="single" w:sz="4" w:space="0" w:color="auto"/>
              <w:right w:val="single" w:sz="4" w:space="0" w:color="auto"/>
            </w:tcBorders>
          </w:tcPr>
          <w:p w14:paraId="534CA44D" w14:textId="77777777" w:rsidR="00F26E61" w:rsidRPr="00F97146" w:rsidRDefault="00F26E61" w:rsidP="00407A8E">
            <w:pPr>
              <w:rPr>
                <w:rFonts w:cs="Segoe UI"/>
                <w:iCs w:val="0"/>
                <w:sz w:val="18"/>
                <w:szCs w:val="14"/>
              </w:rPr>
            </w:pPr>
            <w:r w:rsidRPr="00F97146">
              <w:rPr>
                <w:rFonts w:cs="Segoe UI"/>
                <w:iCs w:val="0"/>
                <w:sz w:val="18"/>
                <w:szCs w:val="14"/>
              </w:rPr>
              <w:t>Remove or clarify provisions that impose prescriptive conformity assessment structures, ensuring NBs retain independence, impartiality, and the ability to apply risk-based judgment, with clear alignment to existing MDR/IVDR principles.</w:t>
            </w:r>
          </w:p>
        </w:tc>
      </w:tr>
      <w:tr w:rsidR="00F26E61" w:rsidRPr="00F97146" w14:paraId="42051189" w14:textId="77777777" w:rsidTr="0022597C">
        <w:tc>
          <w:tcPr>
            <w:tcW w:w="568" w:type="dxa"/>
          </w:tcPr>
          <w:p w14:paraId="6AD24E88" w14:textId="77777777" w:rsidR="00F26E61" w:rsidRPr="00F97146" w:rsidRDefault="00F26E61" w:rsidP="00407A8E">
            <w:pPr>
              <w:spacing w:line="276" w:lineRule="auto"/>
              <w:ind w:left="-48" w:firstLine="6"/>
              <w:jc w:val="center"/>
              <w:rPr>
                <w:iCs w:val="0"/>
                <w:sz w:val="18"/>
                <w:szCs w:val="14"/>
                <w:lang w:val="en-US"/>
              </w:rPr>
            </w:pPr>
            <w:r w:rsidRPr="00F97146">
              <w:rPr>
                <w:iCs w:val="0"/>
                <w:sz w:val="18"/>
                <w:szCs w:val="14"/>
                <w:lang w:val="en-US"/>
              </w:rPr>
              <w:t>24</w:t>
            </w:r>
          </w:p>
        </w:tc>
        <w:tc>
          <w:tcPr>
            <w:tcW w:w="1134" w:type="dxa"/>
            <w:tcBorders>
              <w:top w:val="single" w:sz="4" w:space="0" w:color="auto"/>
              <w:left w:val="single" w:sz="4" w:space="0" w:color="auto"/>
              <w:bottom w:val="single" w:sz="4" w:space="0" w:color="auto"/>
              <w:right w:val="single" w:sz="4" w:space="0" w:color="auto"/>
            </w:tcBorders>
          </w:tcPr>
          <w:p w14:paraId="211BB4FD" w14:textId="77777777" w:rsidR="00F26E61" w:rsidRPr="00F97146" w:rsidRDefault="00F26E61" w:rsidP="00407A8E">
            <w:pPr>
              <w:spacing w:line="276" w:lineRule="auto"/>
              <w:ind w:left="-48" w:firstLine="6"/>
              <w:rPr>
                <w:iCs w:val="0"/>
                <w:sz w:val="18"/>
                <w:szCs w:val="14"/>
                <w:lang w:val="en-US"/>
              </w:rPr>
            </w:pPr>
            <w:r w:rsidRPr="00F97146">
              <w:rPr>
                <w:iCs w:val="0"/>
                <w:sz w:val="18"/>
                <w:szCs w:val="14"/>
                <w:lang w:val="en-US"/>
              </w:rPr>
              <w:t>61 / 14, 15</w:t>
            </w:r>
          </w:p>
        </w:tc>
        <w:tc>
          <w:tcPr>
            <w:tcW w:w="1114" w:type="dxa"/>
            <w:tcBorders>
              <w:top w:val="single" w:sz="4" w:space="0" w:color="auto"/>
              <w:left w:val="single" w:sz="4" w:space="0" w:color="auto"/>
              <w:bottom w:val="single" w:sz="4" w:space="0" w:color="auto"/>
              <w:right w:val="single" w:sz="4" w:space="0" w:color="auto"/>
            </w:tcBorders>
          </w:tcPr>
          <w:p w14:paraId="3EFB11DF" w14:textId="77777777" w:rsidR="00F26E61" w:rsidRPr="00F97146" w:rsidRDefault="00F26E61" w:rsidP="00407A8E">
            <w:pPr>
              <w:spacing w:line="276" w:lineRule="auto"/>
              <w:ind w:left="75"/>
              <w:jc w:val="center"/>
              <w:rPr>
                <w:rFonts w:eastAsia="Segoe UI" w:cs="Segoe UI"/>
                <w:iCs w:val="0"/>
                <w:sz w:val="18"/>
                <w:szCs w:val="14"/>
              </w:rPr>
            </w:pPr>
            <w:r w:rsidRPr="00F97146">
              <w:rPr>
                <w:rFonts w:eastAsia="Segoe UI" w:cs="Segoe UI"/>
                <w:iCs w:val="0"/>
                <w:sz w:val="18"/>
                <w:szCs w:val="14"/>
              </w:rPr>
              <w:t>1 / Ann I</w:t>
            </w:r>
          </w:p>
          <w:p w14:paraId="40E9682F" w14:textId="77777777" w:rsidR="00F26E61" w:rsidRPr="00F97146" w:rsidRDefault="00F26E61" w:rsidP="00407A8E">
            <w:pPr>
              <w:spacing w:line="276" w:lineRule="auto"/>
              <w:ind w:left="75"/>
              <w:jc w:val="center"/>
              <w:rPr>
                <w:rFonts w:eastAsia="Segoe UI" w:cs="Segoe UI"/>
                <w:iCs w:val="0"/>
                <w:sz w:val="18"/>
                <w:szCs w:val="14"/>
              </w:rPr>
            </w:pPr>
          </w:p>
          <w:p w14:paraId="554EBA8D" w14:textId="77777777" w:rsidR="00F26E61" w:rsidRPr="00F97146" w:rsidRDefault="00F26E61" w:rsidP="00407A8E">
            <w:pPr>
              <w:spacing w:line="276" w:lineRule="auto"/>
              <w:ind w:left="75"/>
              <w:jc w:val="center"/>
              <w:rPr>
                <w:iCs w:val="0"/>
                <w:sz w:val="18"/>
                <w:szCs w:val="14"/>
                <w:lang w:val="fr-FR"/>
              </w:rPr>
            </w:pPr>
          </w:p>
        </w:tc>
        <w:tc>
          <w:tcPr>
            <w:tcW w:w="1134" w:type="dxa"/>
            <w:tcBorders>
              <w:top w:val="single" w:sz="4" w:space="0" w:color="auto"/>
              <w:left w:val="single" w:sz="4" w:space="0" w:color="auto"/>
              <w:bottom w:val="single" w:sz="4" w:space="0" w:color="auto"/>
              <w:right w:val="single" w:sz="4" w:space="0" w:color="auto"/>
            </w:tcBorders>
          </w:tcPr>
          <w:p w14:paraId="48578724" w14:textId="77777777" w:rsidR="00F26E61" w:rsidRPr="00F97146" w:rsidRDefault="00F26E61" w:rsidP="00407A8E">
            <w:pPr>
              <w:spacing w:line="276" w:lineRule="auto"/>
              <w:jc w:val="center"/>
              <w:rPr>
                <w:iCs w:val="0"/>
                <w:sz w:val="18"/>
                <w:szCs w:val="14"/>
                <w:lang w:val="en-US"/>
              </w:rPr>
            </w:pPr>
            <w:r w:rsidRPr="00F97146">
              <w:rPr>
                <w:iCs w:val="0"/>
                <w:sz w:val="18"/>
                <w:szCs w:val="14"/>
                <w:lang w:val="en-US"/>
              </w:rPr>
              <w:t>43 / 7</w:t>
            </w:r>
          </w:p>
          <w:p w14:paraId="60E85AB3" w14:textId="77777777" w:rsidR="00F26E61" w:rsidRPr="00F97146" w:rsidRDefault="00F26E61" w:rsidP="00407A8E">
            <w:pPr>
              <w:spacing w:line="276" w:lineRule="auto"/>
              <w:jc w:val="center"/>
              <w:rPr>
                <w:iCs w:val="0"/>
                <w:sz w:val="18"/>
                <w:szCs w:val="14"/>
                <w:lang w:val="en-US"/>
              </w:rPr>
            </w:pPr>
          </w:p>
          <w:p w14:paraId="4CEC7113" w14:textId="77777777" w:rsidR="00F26E61" w:rsidRPr="00F97146" w:rsidRDefault="00F26E61" w:rsidP="00407A8E">
            <w:pPr>
              <w:spacing w:line="276" w:lineRule="auto"/>
              <w:jc w:val="center"/>
              <w:rPr>
                <w:iCs w:val="0"/>
                <w:sz w:val="18"/>
                <w:szCs w:val="14"/>
                <w:lang w:val="en-US"/>
              </w:rPr>
            </w:pPr>
          </w:p>
        </w:tc>
        <w:tc>
          <w:tcPr>
            <w:tcW w:w="1134" w:type="dxa"/>
            <w:tcBorders>
              <w:top w:val="single" w:sz="4" w:space="0" w:color="auto"/>
              <w:left w:val="single" w:sz="4" w:space="0" w:color="auto"/>
              <w:bottom w:val="single" w:sz="4" w:space="0" w:color="auto"/>
              <w:right w:val="single" w:sz="4" w:space="0" w:color="auto"/>
            </w:tcBorders>
          </w:tcPr>
          <w:p w14:paraId="25BABCE5" w14:textId="77777777" w:rsidR="00F26E61" w:rsidRPr="00F97146" w:rsidRDefault="00F26E61" w:rsidP="00407A8E">
            <w:pPr>
              <w:spacing w:line="276" w:lineRule="auto"/>
              <w:ind w:left="14"/>
              <w:jc w:val="center"/>
              <w:rPr>
                <w:iCs w:val="0"/>
                <w:sz w:val="18"/>
                <w:szCs w:val="14"/>
                <w:lang w:val="en-US"/>
              </w:rPr>
            </w:pPr>
            <w:r w:rsidRPr="00F97146">
              <w:rPr>
                <w:rFonts w:eastAsia="Segoe UI" w:cs="Segoe UI"/>
                <w:iCs w:val="0"/>
                <w:sz w:val="18"/>
                <w:szCs w:val="14"/>
              </w:rPr>
              <w:t>7c, 7e</w:t>
            </w:r>
          </w:p>
        </w:tc>
        <w:tc>
          <w:tcPr>
            <w:tcW w:w="4840" w:type="dxa"/>
            <w:tcBorders>
              <w:top w:val="single" w:sz="4" w:space="0" w:color="auto"/>
              <w:left w:val="single" w:sz="4" w:space="0" w:color="auto"/>
              <w:bottom w:val="single" w:sz="4" w:space="0" w:color="auto"/>
              <w:right w:val="single" w:sz="4" w:space="0" w:color="auto"/>
            </w:tcBorders>
          </w:tcPr>
          <w:p w14:paraId="07ED729D" w14:textId="77777777" w:rsidR="00F26E61" w:rsidRPr="00F97146" w:rsidRDefault="00F26E61" w:rsidP="00407A8E">
            <w:pPr>
              <w:spacing w:line="276" w:lineRule="auto"/>
              <w:rPr>
                <w:bCs/>
                <w:iCs w:val="0"/>
                <w:sz w:val="18"/>
                <w:szCs w:val="14"/>
              </w:rPr>
            </w:pPr>
            <w:r w:rsidRPr="00F97146">
              <w:rPr>
                <w:rFonts w:eastAsia="Segoe UI" w:cs="Segoe UI"/>
                <w:iCs w:val="0"/>
                <w:sz w:val="18"/>
                <w:szCs w:val="14"/>
              </w:rPr>
              <w:t>Acceleration of review timelines combined with stricter training, qualification, and designation requirements (including limited scope codes) may reduce NB capacity and expert availability, resulting in fewer products reaching the market, including devices that could offer improved safety or clinical benefit.</w:t>
            </w:r>
          </w:p>
        </w:tc>
        <w:tc>
          <w:tcPr>
            <w:tcW w:w="5528" w:type="dxa"/>
            <w:tcBorders>
              <w:top w:val="single" w:sz="4" w:space="0" w:color="auto"/>
              <w:left w:val="single" w:sz="4" w:space="0" w:color="auto"/>
              <w:bottom w:val="single" w:sz="4" w:space="0" w:color="auto"/>
              <w:right w:val="single" w:sz="4" w:space="0" w:color="auto"/>
            </w:tcBorders>
          </w:tcPr>
          <w:p w14:paraId="3B52A735" w14:textId="77777777" w:rsidR="00F26E61" w:rsidRPr="00F97146" w:rsidRDefault="00F26E61" w:rsidP="00407A8E">
            <w:pPr>
              <w:rPr>
                <w:rFonts w:cs="Segoe UI"/>
                <w:iCs w:val="0"/>
                <w:sz w:val="18"/>
                <w:szCs w:val="14"/>
              </w:rPr>
            </w:pPr>
            <w:r w:rsidRPr="00F97146">
              <w:rPr>
                <w:rFonts w:cs="Segoe UI"/>
                <w:iCs w:val="0"/>
                <w:sz w:val="18"/>
                <w:szCs w:val="14"/>
              </w:rPr>
              <w:t>Allow NBs to determine proportionate review times that reflect the quality of the technical documentation and the risk of the devices.</w:t>
            </w:r>
          </w:p>
          <w:p w14:paraId="6CE5829B" w14:textId="77777777" w:rsidR="00F26E61" w:rsidRPr="00F97146" w:rsidRDefault="00F26E61" w:rsidP="00407A8E">
            <w:pPr>
              <w:rPr>
                <w:rFonts w:cs="Segoe UI"/>
                <w:iCs w:val="0"/>
                <w:sz w:val="18"/>
                <w:szCs w:val="14"/>
              </w:rPr>
            </w:pPr>
          </w:p>
          <w:p w14:paraId="3BD052CB" w14:textId="77777777" w:rsidR="00F26E61" w:rsidRPr="00F97146" w:rsidRDefault="00F26E61" w:rsidP="00407A8E">
            <w:pPr>
              <w:spacing w:line="276" w:lineRule="auto"/>
              <w:rPr>
                <w:bCs/>
                <w:iCs w:val="0"/>
                <w:sz w:val="18"/>
                <w:szCs w:val="14"/>
              </w:rPr>
            </w:pPr>
            <w:r w:rsidRPr="00F97146">
              <w:rPr>
                <w:rFonts w:cs="Segoe UI"/>
                <w:iCs w:val="0"/>
                <w:sz w:val="18"/>
                <w:szCs w:val="14"/>
              </w:rPr>
              <w:t>Allow flexibility for qualification of resource, acknowledging that the role of the conformity assessment is to provide a proportionate, risk-based review that considers boarder concepts and leverages wider knowledge of medical devices to challenge the safety and performance demonstrated by manufacturers and the clinical claims.</w:t>
            </w:r>
          </w:p>
        </w:tc>
      </w:tr>
      <w:tr w:rsidR="00F26E61" w:rsidRPr="00F97146" w14:paraId="34C91B85" w14:textId="77777777" w:rsidTr="0022597C">
        <w:tc>
          <w:tcPr>
            <w:tcW w:w="568" w:type="dxa"/>
          </w:tcPr>
          <w:p w14:paraId="577E7BCD" w14:textId="77777777" w:rsidR="00F26E61" w:rsidRPr="00F97146" w:rsidRDefault="00F26E61" w:rsidP="00407A8E">
            <w:pPr>
              <w:spacing w:line="276" w:lineRule="auto"/>
              <w:ind w:left="-48" w:firstLine="6"/>
              <w:jc w:val="center"/>
              <w:rPr>
                <w:iCs w:val="0"/>
                <w:sz w:val="18"/>
                <w:szCs w:val="14"/>
                <w:lang w:val="en-US"/>
              </w:rPr>
            </w:pPr>
            <w:r w:rsidRPr="00F97146">
              <w:rPr>
                <w:iCs w:val="0"/>
                <w:sz w:val="18"/>
                <w:szCs w:val="14"/>
                <w:lang w:val="en-US"/>
              </w:rPr>
              <w:t>25</w:t>
            </w:r>
          </w:p>
        </w:tc>
        <w:tc>
          <w:tcPr>
            <w:tcW w:w="1134" w:type="dxa"/>
            <w:tcBorders>
              <w:top w:val="single" w:sz="4" w:space="0" w:color="auto"/>
              <w:left w:val="single" w:sz="4" w:space="0" w:color="auto"/>
              <w:bottom w:val="single" w:sz="4" w:space="0" w:color="auto"/>
              <w:right w:val="single" w:sz="4" w:space="0" w:color="auto"/>
            </w:tcBorders>
          </w:tcPr>
          <w:p w14:paraId="2A6048CE" w14:textId="77777777" w:rsidR="00F26E61" w:rsidRPr="00F97146" w:rsidRDefault="00F26E61" w:rsidP="00407A8E">
            <w:pPr>
              <w:spacing w:line="276" w:lineRule="auto"/>
              <w:ind w:left="-48" w:firstLine="6"/>
              <w:jc w:val="center"/>
              <w:rPr>
                <w:iCs w:val="0"/>
                <w:sz w:val="18"/>
                <w:szCs w:val="14"/>
                <w:lang w:val="en-US"/>
              </w:rPr>
            </w:pPr>
            <w:r w:rsidRPr="00F97146">
              <w:rPr>
                <w:iCs w:val="0"/>
                <w:sz w:val="18"/>
                <w:szCs w:val="14"/>
                <w:lang w:val="en-US"/>
              </w:rPr>
              <w:t>61 / 14,15</w:t>
            </w:r>
          </w:p>
        </w:tc>
        <w:tc>
          <w:tcPr>
            <w:tcW w:w="1114" w:type="dxa"/>
            <w:tcBorders>
              <w:top w:val="single" w:sz="4" w:space="0" w:color="auto"/>
              <w:left w:val="single" w:sz="4" w:space="0" w:color="auto"/>
              <w:bottom w:val="single" w:sz="4" w:space="0" w:color="auto"/>
              <w:right w:val="single" w:sz="4" w:space="0" w:color="auto"/>
            </w:tcBorders>
          </w:tcPr>
          <w:p w14:paraId="4AD5DECD" w14:textId="77777777" w:rsidR="00F26E61" w:rsidRPr="00F97146" w:rsidRDefault="00F26E61" w:rsidP="00407A8E">
            <w:pPr>
              <w:spacing w:line="276" w:lineRule="auto"/>
              <w:ind w:left="75"/>
              <w:jc w:val="center"/>
              <w:rPr>
                <w:rFonts w:eastAsia="Segoe UI" w:cs="Segoe UI"/>
                <w:iCs w:val="0"/>
                <w:sz w:val="18"/>
                <w:szCs w:val="14"/>
              </w:rPr>
            </w:pPr>
            <w:r w:rsidRPr="00F97146">
              <w:rPr>
                <w:rFonts w:eastAsia="Segoe UI" w:cs="Segoe UI"/>
                <w:iCs w:val="0"/>
                <w:sz w:val="18"/>
                <w:szCs w:val="14"/>
              </w:rPr>
              <w:t xml:space="preserve">1 / Ann 1 </w:t>
            </w:r>
          </w:p>
        </w:tc>
        <w:tc>
          <w:tcPr>
            <w:tcW w:w="1134" w:type="dxa"/>
            <w:tcBorders>
              <w:top w:val="single" w:sz="4" w:space="0" w:color="auto"/>
              <w:left w:val="single" w:sz="4" w:space="0" w:color="auto"/>
              <w:bottom w:val="single" w:sz="4" w:space="0" w:color="auto"/>
              <w:right w:val="single" w:sz="4" w:space="0" w:color="auto"/>
            </w:tcBorders>
          </w:tcPr>
          <w:p w14:paraId="09D141C2" w14:textId="77777777" w:rsidR="00F26E61" w:rsidRPr="00F97146" w:rsidRDefault="00F26E61" w:rsidP="00407A8E">
            <w:pPr>
              <w:spacing w:line="276" w:lineRule="auto"/>
              <w:jc w:val="center"/>
              <w:rPr>
                <w:rFonts w:eastAsia="Segoe UI" w:cs="Segoe UI"/>
                <w:iCs w:val="0"/>
                <w:sz w:val="18"/>
                <w:szCs w:val="14"/>
              </w:rPr>
            </w:pPr>
            <w:r w:rsidRPr="00F97146">
              <w:rPr>
                <w:rFonts w:eastAsia="Segoe UI" w:cs="Segoe UI"/>
                <w:iCs w:val="0"/>
                <w:sz w:val="18"/>
                <w:szCs w:val="14"/>
              </w:rPr>
              <w:t>43 / 7</w:t>
            </w:r>
          </w:p>
          <w:p w14:paraId="3BD45671" w14:textId="77777777" w:rsidR="00F26E61" w:rsidRPr="00F97146" w:rsidRDefault="00F26E61" w:rsidP="00407A8E">
            <w:pPr>
              <w:spacing w:line="276" w:lineRule="auto"/>
              <w:jc w:val="center"/>
              <w:rPr>
                <w:rFonts w:eastAsia="Segoe UI" w:cs="Segoe UI"/>
                <w:iCs w:val="0"/>
                <w:sz w:val="18"/>
                <w:szCs w:val="14"/>
              </w:rPr>
            </w:pPr>
          </w:p>
          <w:p w14:paraId="5C04F1E9" w14:textId="77777777" w:rsidR="00F26E61" w:rsidRPr="00F97146" w:rsidRDefault="00F26E61" w:rsidP="00407A8E">
            <w:pPr>
              <w:spacing w:line="276" w:lineRule="auto"/>
              <w:jc w:val="center"/>
              <w:rPr>
                <w:rFonts w:eastAsia="Segoe UI" w:cs="Segoe UI"/>
                <w:iCs w:val="0"/>
                <w:sz w:val="18"/>
                <w:szCs w:val="14"/>
              </w:rPr>
            </w:pPr>
          </w:p>
        </w:tc>
        <w:tc>
          <w:tcPr>
            <w:tcW w:w="1134" w:type="dxa"/>
            <w:tcBorders>
              <w:top w:val="single" w:sz="4" w:space="0" w:color="auto"/>
              <w:left w:val="single" w:sz="4" w:space="0" w:color="auto"/>
              <w:bottom w:val="single" w:sz="4" w:space="0" w:color="auto"/>
              <w:right w:val="single" w:sz="4" w:space="0" w:color="auto"/>
            </w:tcBorders>
          </w:tcPr>
          <w:p w14:paraId="44C14EB6" w14:textId="77777777" w:rsidR="00F26E61" w:rsidRPr="00F97146" w:rsidRDefault="00F26E61" w:rsidP="00407A8E">
            <w:pPr>
              <w:spacing w:line="276" w:lineRule="auto"/>
              <w:ind w:left="14"/>
              <w:jc w:val="center"/>
              <w:rPr>
                <w:rFonts w:eastAsia="Segoe UI" w:cs="Segoe UI"/>
                <w:iCs w:val="0"/>
                <w:sz w:val="18"/>
                <w:szCs w:val="14"/>
              </w:rPr>
            </w:pPr>
            <w:r w:rsidRPr="00F97146">
              <w:rPr>
                <w:rFonts w:eastAsia="Segoe UI" w:cs="Segoe UI"/>
                <w:iCs w:val="0"/>
                <w:sz w:val="18"/>
                <w:szCs w:val="14"/>
              </w:rPr>
              <w:t>7c,7e</w:t>
            </w:r>
          </w:p>
        </w:tc>
        <w:tc>
          <w:tcPr>
            <w:tcW w:w="4840" w:type="dxa"/>
            <w:tcBorders>
              <w:top w:val="single" w:sz="4" w:space="0" w:color="auto"/>
              <w:left w:val="single" w:sz="4" w:space="0" w:color="auto"/>
              <w:bottom w:val="single" w:sz="4" w:space="0" w:color="auto"/>
              <w:right w:val="single" w:sz="4" w:space="0" w:color="auto"/>
            </w:tcBorders>
          </w:tcPr>
          <w:p w14:paraId="46F57881" w14:textId="77777777" w:rsidR="00F26E61" w:rsidRPr="00F97146" w:rsidRDefault="00F26E61" w:rsidP="00407A8E">
            <w:pPr>
              <w:spacing w:line="276" w:lineRule="auto"/>
              <w:rPr>
                <w:rFonts w:eastAsia="Segoe UI" w:cs="Segoe UI"/>
                <w:iCs w:val="0"/>
                <w:sz w:val="18"/>
                <w:szCs w:val="14"/>
              </w:rPr>
            </w:pPr>
            <w:r w:rsidRPr="00F97146">
              <w:rPr>
                <w:rFonts w:eastAsia="Segoe UI" w:cs="Segoe UI"/>
                <w:iCs w:val="0"/>
                <w:sz w:val="18"/>
                <w:szCs w:val="14"/>
              </w:rPr>
              <w:t>Reduced sampling and surveillance activities, together with challenges in maintaining assessor qualifications under the proposed framework, may undermine the ability of NBs to sustain the necessary depth of technical and clinical competence, particularly for complex or innovative technologies.</w:t>
            </w:r>
          </w:p>
        </w:tc>
        <w:tc>
          <w:tcPr>
            <w:tcW w:w="5528" w:type="dxa"/>
            <w:tcBorders>
              <w:top w:val="single" w:sz="4" w:space="0" w:color="auto"/>
              <w:left w:val="single" w:sz="4" w:space="0" w:color="auto"/>
              <w:bottom w:val="single" w:sz="4" w:space="0" w:color="auto"/>
              <w:right w:val="single" w:sz="4" w:space="0" w:color="auto"/>
            </w:tcBorders>
          </w:tcPr>
          <w:p w14:paraId="521CC547" w14:textId="77777777" w:rsidR="00F26E61" w:rsidRPr="00F97146" w:rsidRDefault="00F26E61" w:rsidP="00407A8E">
            <w:pPr>
              <w:rPr>
                <w:rFonts w:cs="Segoe UI"/>
                <w:iCs w:val="0"/>
                <w:sz w:val="18"/>
                <w:szCs w:val="14"/>
              </w:rPr>
            </w:pPr>
            <w:r w:rsidRPr="00F97146">
              <w:rPr>
                <w:rFonts w:cs="Segoe UI"/>
                <w:iCs w:val="0"/>
                <w:sz w:val="18"/>
                <w:szCs w:val="14"/>
              </w:rPr>
              <w:t>Maintain minimum proactive sampling and surveillance levels necessary to support assessor competence and robust clinical/technical oversight, particularly for high-risk and innovative devices, rather than reducing systematic activities to infrequent intervals.</w:t>
            </w:r>
          </w:p>
        </w:tc>
      </w:tr>
      <w:tr w:rsidR="00F26E61" w:rsidRPr="00F97146" w14:paraId="57920D88" w14:textId="77777777" w:rsidTr="0022597C">
        <w:tc>
          <w:tcPr>
            <w:tcW w:w="568" w:type="dxa"/>
          </w:tcPr>
          <w:p w14:paraId="22319848" w14:textId="77777777" w:rsidR="00F26E61" w:rsidRPr="00F97146" w:rsidRDefault="00F26E61" w:rsidP="00407A8E">
            <w:pPr>
              <w:spacing w:line="276" w:lineRule="auto"/>
              <w:ind w:left="-48" w:firstLine="6"/>
              <w:jc w:val="center"/>
              <w:rPr>
                <w:rFonts w:eastAsia="Segoe UI" w:cs="Segoe UI"/>
                <w:iCs w:val="0"/>
                <w:sz w:val="18"/>
                <w:szCs w:val="14"/>
              </w:rPr>
            </w:pPr>
            <w:r w:rsidRPr="00F97146">
              <w:rPr>
                <w:rFonts w:eastAsia="Segoe UI" w:cs="Segoe UI"/>
                <w:iCs w:val="0"/>
                <w:sz w:val="18"/>
                <w:szCs w:val="14"/>
              </w:rPr>
              <w:t>26</w:t>
            </w:r>
          </w:p>
        </w:tc>
        <w:tc>
          <w:tcPr>
            <w:tcW w:w="1134" w:type="dxa"/>
            <w:tcBorders>
              <w:top w:val="single" w:sz="4" w:space="0" w:color="auto"/>
              <w:left w:val="single" w:sz="4" w:space="0" w:color="auto"/>
              <w:bottom w:val="single" w:sz="4" w:space="0" w:color="auto"/>
              <w:right w:val="single" w:sz="4" w:space="0" w:color="auto"/>
            </w:tcBorders>
          </w:tcPr>
          <w:p w14:paraId="63ABC943" w14:textId="77777777" w:rsidR="00F26E61" w:rsidRPr="00F97146" w:rsidRDefault="00F26E61" w:rsidP="00407A8E">
            <w:pPr>
              <w:spacing w:line="276" w:lineRule="auto"/>
              <w:ind w:left="-48" w:firstLine="6"/>
              <w:jc w:val="center"/>
              <w:rPr>
                <w:rFonts w:eastAsia="Segoe UI" w:cs="Segoe UI"/>
                <w:iCs w:val="0"/>
                <w:sz w:val="18"/>
                <w:szCs w:val="14"/>
              </w:rPr>
            </w:pPr>
            <w:r w:rsidRPr="00F97146">
              <w:rPr>
                <w:rFonts w:eastAsia="Segoe UI" w:cs="Segoe UI"/>
                <w:iCs w:val="0"/>
                <w:sz w:val="18"/>
                <w:szCs w:val="14"/>
              </w:rPr>
              <w:t>61 / 14,15</w:t>
            </w:r>
          </w:p>
        </w:tc>
        <w:tc>
          <w:tcPr>
            <w:tcW w:w="1114" w:type="dxa"/>
            <w:tcBorders>
              <w:top w:val="single" w:sz="4" w:space="0" w:color="auto"/>
              <w:left w:val="single" w:sz="4" w:space="0" w:color="auto"/>
              <w:bottom w:val="single" w:sz="4" w:space="0" w:color="auto"/>
              <w:right w:val="single" w:sz="4" w:space="0" w:color="auto"/>
            </w:tcBorders>
          </w:tcPr>
          <w:p w14:paraId="5054F7A4" w14:textId="77777777" w:rsidR="00F26E61" w:rsidRPr="00F97146" w:rsidRDefault="00F26E61" w:rsidP="00407A8E">
            <w:pPr>
              <w:spacing w:line="276" w:lineRule="auto"/>
              <w:ind w:left="75"/>
              <w:jc w:val="center"/>
              <w:rPr>
                <w:rFonts w:eastAsia="Segoe UI" w:cs="Segoe UI"/>
                <w:iCs w:val="0"/>
                <w:sz w:val="18"/>
                <w:szCs w:val="14"/>
              </w:rPr>
            </w:pPr>
            <w:r w:rsidRPr="00F97146">
              <w:rPr>
                <w:rFonts w:eastAsia="Segoe UI" w:cs="Segoe UI"/>
                <w:iCs w:val="0"/>
                <w:sz w:val="18"/>
                <w:szCs w:val="14"/>
              </w:rPr>
              <w:t>1 / Ann I</w:t>
            </w:r>
          </w:p>
        </w:tc>
        <w:tc>
          <w:tcPr>
            <w:tcW w:w="1134" w:type="dxa"/>
            <w:tcBorders>
              <w:top w:val="single" w:sz="4" w:space="0" w:color="auto"/>
              <w:left w:val="single" w:sz="4" w:space="0" w:color="auto"/>
              <w:bottom w:val="single" w:sz="4" w:space="0" w:color="auto"/>
              <w:right w:val="single" w:sz="4" w:space="0" w:color="auto"/>
            </w:tcBorders>
          </w:tcPr>
          <w:p w14:paraId="66AD226C" w14:textId="77777777" w:rsidR="00F26E61" w:rsidRPr="00F97146" w:rsidRDefault="00F26E61" w:rsidP="00407A8E">
            <w:pPr>
              <w:spacing w:line="276" w:lineRule="auto"/>
              <w:jc w:val="center"/>
              <w:rPr>
                <w:rFonts w:eastAsia="Segoe UI" w:cs="Segoe UI"/>
                <w:iCs w:val="0"/>
                <w:sz w:val="18"/>
                <w:szCs w:val="14"/>
              </w:rPr>
            </w:pPr>
            <w:r w:rsidRPr="00F97146">
              <w:rPr>
                <w:rFonts w:eastAsia="Segoe UI" w:cs="Segoe UI"/>
                <w:iCs w:val="0"/>
                <w:sz w:val="18"/>
                <w:szCs w:val="14"/>
              </w:rPr>
              <w:t xml:space="preserve">43 / 7 </w:t>
            </w:r>
          </w:p>
        </w:tc>
        <w:tc>
          <w:tcPr>
            <w:tcW w:w="1134" w:type="dxa"/>
            <w:tcBorders>
              <w:top w:val="single" w:sz="4" w:space="0" w:color="auto"/>
              <w:left w:val="single" w:sz="4" w:space="0" w:color="auto"/>
              <w:bottom w:val="single" w:sz="4" w:space="0" w:color="auto"/>
              <w:right w:val="single" w:sz="4" w:space="0" w:color="auto"/>
            </w:tcBorders>
          </w:tcPr>
          <w:p w14:paraId="1B0E6CE4" w14:textId="77777777" w:rsidR="00F26E61" w:rsidRPr="00F97146" w:rsidRDefault="00F26E61" w:rsidP="00407A8E">
            <w:pPr>
              <w:spacing w:line="276" w:lineRule="auto"/>
              <w:ind w:left="14"/>
              <w:jc w:val="center"/>
              <w:rPr>
                <w:rFonts w:eastAsia="Segoe UI" w:cs="Segoe UI"/>
                <w:iCs w:val="0"/>
                <w:sz w:val="18"/>
                <w:szCs w:val="14"/>
              </w:rPr>
            </w:pPr>
            <w:r w:rsidRPr="00F97146">
              <w:rPr>
                <w:rFonts w:eastAsia="Segoe UI" w:cs="Segoe UI"/>
                <w:iCs w:val="0"/>
                <w:sz w:val="18"/>
                <w:szCs w:val="14"/>
              </w:rPr>
              <w:t>7c,7e</w:t>
            </w:r>
          </w:p>
        </w:tc>
        <w:tc>
          <w:tcPr>
            <w:tcW w:w="4840" w:type="dxa"/>
            <w:tcBorders>
              <w:top w:val="single" w:sz="4" w:space="0" w:color="auto"/>
              <w:left w:val="single" w:sz="4" w:space="0" w:color="auto"/>
              <w:bottom w:val="single" w:sz="4" w:space="0" w:color="auto"/>
              <w:right w:val="single" w:sz="4" w:space="0" w:color="auto"/>
            </w:tcBorders>
          </w:tcPr>
          <w:p w14:paraId="137430A3" w14:textId="77777777" w:rsidR="00F26E61" w:rsidRPr="00F97146" w:rsidRDefault="00F26E61" w:rsidP="00407A8E">
            <w:pPr>
              <w:spacing w:line="276" w:lineRule="auto"/>
              <w:rPr>
                <w:rFonts w:eastAsia="Segoe UI" w:cs="Segoe UI"/>
                <w:iCs w:val="0"/>
                <w:sz w:val="18"/>
                <w:szCs w:val="14"/>
              </w:rPr>
            </w:pPr>
            <w:r w:rsidRPr="00F97146">
              <w:rPr>
                <w:rFonts w:eastAsia="Segoe UI" w:cs="Segoe UI"/>
                <w:iCs w:val="0"/>
                <w:sz w:val="18"/>
                <w:szCs w:val="14"/>
              </w:rPr>
              <w:t xml:space="preserve">A shift toward predominantly for-cause assessments, with fewer proactive and systematic conformity assessment activities, risks limiting early identification of safety and </w:t>
            </w:r>
            <w:r w:rsidRPr="00F97146">
              <w:rPr>
                <w:rFonts w:eastAsia="Segoe UI" w:cs="Segoe UI"/>
                <w:iCs w:val="0"/>
                <w:sz w:val="18"/>
                <w:szCs w:val="14"/>
              </w:rPr>
              <w:lastRenderedPageBreak/>
              <w:t>performance issues. With reduced NB oversight, potential early signs of non</w:t>
            </w:r>
            <w:r w:rsidRPr="00F97146">
              <w:rPr>
                <w:rFonts w:ascii="Cambria Math" w:eastAsia="Segoe UI" w:hAnsi="Cambria Math" w:cs="Cambria Math"/>
                <w:iCs w:val="0"/>
                <w:sz w:val="18"/>
                <w:szCs w:val="14"/>
              </w:rPr>
              <w:t>‑</w:t>
            </w:r>
            <w:r w:rsidRPr="00F97146">
              <w:rPr>
                <w:rFonts w:eastAsia="Segoe UI" w:cs="Segoe UI"/>
                <w:iCs w:val="0"/>
                <w:sz w:val="18"/>
                <w:szCs w:val="14"/>
              </w:rPr>
              <w:t>compliance, safety concerns, or performance degradation across a manufacturer’s devices and QMS is unlikely to be detected in a timely manner, ultimately weakening preventive oversight and increasing reliance on reactive measures after issues have already materialised.</w:t>
            </w:r>
          </w:p>
        </w:tc>
        <w:tc>
          <w:tcPr>
            <w:tcW w:w="5528" w:type="dxa"/>
            <w:tcBorders>
              <w:top w:val="single" w:sz="4" w:space="0" w:color="auto"/>
              <w:left w:val="single" w:sz="4" w:space="0" w:color="auto"/>
              <w:bottom w:val="single" w:sz="4" w:space="0" w:color="auto"/>
              <w:right w:val="single" w:sz="4" w:space="0" w:color="auto"/>
            </w:tcBorders>
          </w:tcPr>
          <w:p w14:paraId="6B7A8D77" w14:textId="77777777" w:rsidR="00F26E61" w:rsidRPr="00F97146" w:rsidRDefault="00F26E61" w:rsidP="00407A8E">
            <w:pPr>
              <w:rPr>
                <w:rFonts w:cs="Segoe UI"/>
                <w:iCs w:val="0"/>
                <w:sz w:val="18"/>
                <w:szCs w:val="14"/>
              </w:rPr>
            </w:pPr>
            <w:r w:rsidRPr="00F97146">
              <w:rPr>
                <w:rFonts w:cs="Segoe UI"/>
                <w:iCs w:val="0"/>
                <w:sz w:val="18"/>
                <w:szCs w:val="14"/>
              </w:rPr>
              <w:lastRenderedPageBreak/>
              <w:t xml:space="preserve">Ensure that oversight remains preventive and systematic, with for-cause assessments used as a supplement rather than a substitute, </w:t>
            </w:r>
            <w:r w:rsidRPr="00F97146">
              <w:rPr>
                <w:rFonts w:cs="Segoe UI"/>
                <w:iCs w:val="0"/>
                <w:sz w:val="18"/>
                <w:szCs w:val="14"/>
              </w:rPr>
              <w:lastRenderedPageBreak/>
              <w:t>preserving early detection mechanisms for noncompliance, safety concerns, and performance degradation.</w:t>
            </w:r>
          </w:p>
        </w:tc>
      </w:tr>
      <w:tr w:rsidR="00F26E61" w:rsidRPr="00F97146" w14:paraId="4F506A50" w14:textId="77777777" w:rsidTr="0022597C">
        <w:tc>
          <w:tcPr>
            <w:tcW w:w="568" w:type="dxa"/>
          </w:tcPr>
          <w:p w14:paraId="191E0BA0" w14:textId="77777777" w:rsidR="00F26E61" w:rsidRPr="00F97146" w:rsidRDefault="00F26E61" w:rsidP="00407A8E">
            <w:pPr>
              <w:spacing w:line="276" w:lineRule="auto"/>
              <w:ind w:left="-48" w:firstLine="6"/>
              <w:jc w:val="center"/>
              <w:rPr>
                <w:rFonts w:eastAsia="Segoe UI" w:cs="Segoe UI"/>
                <w:iCs w:val="0"/>
                <w:sz w:val="18"/>
                <w:szCs w:val="14"/>
              </w:rPr>
            </w:pPr>
            <w:r w:rsidRPr="00F97146">
              <w:rPr>
                <w:rFonts w:eastAsia="Segoe UI" w:cs="Segoe UI"/>
                <w:iCs w:val="0"/>
                <w:sz w:val="18"/>
                <w:szCs w:val="14"/>
              </w:rPr>
              <w:lastRenderedPageBreak/>
              <w:t>27</w:t>
            </w:r>
          </w:p>
        </w:tc>
        <w:tc>
          <w:tcPr>
            <w:tcW w:w="1134" w:type="dxa"/>
            <w:tcBorders>
              <w:top w:val="single" w:sz="4" w:space="0" w:color="auto"/>
              <w:left w:val="single" w:sz="4" w:space="0" w:color="auto"/>
              <w:bottom w:val="single" w:sz="4" w:space="0" w:color="auto"/>
              <w:right w:val="single" w:sz="4" w:space="0" w:color="auto"/>
            </w:tcBorders>
          </w:tcPr>
          <w:p w14:paraId="30B0BE36" w14:textId="77777777" w:rsidR="00F26E61" w:rsidRPr="00F97146" w:rsidRDefault="00F26E61" w:rsidP="00407A8E">
            <w:pPr>
              <w:spacing w:line="276" w:lineRule="auto"/>
              <w:ind w:left="-48" w:firstLine="6"/>
              <w:jc w:val="center"/>
              <w:rPr>
                <w:rFonts w:eastAsia="Segoe UI" w:cs="Segoe UI"/>
                <w:iCs w:val="0"/>
                <w:sz w:val="18"/>
                <w:szCs w:val="14"/>
              </w:rPr>
            </w:pPr>
            <w:r w:rsidRPr="00F97146">
              <w:rPr>
                <w:rFonts w:eastAsia="Segoe UI" w:cs="Segoe UI"/>
                <w:iCs w:val="0"/>
                <w:sz w:val="18"/>
                <w:szCs w:val="14"/>
              </w:rPr>
              <w:t>62</w:t>
            </w:r>
          </w:p>
        </w:tc>
        <w:tc>
          <w:tcPr>
            <w:tcW w:w="1114" w:type="dxa"/>
            <w:tcBorders>
              <w:top w:val="single" w:sz="4" w:space="0" w:color="auto"/>
              <w:left w:val="single" w:sz="4" w:space="0" w:color="auto"/>
              <w:bottom w:val="single" w:sz="4" w:space="0" w:color="auto"/>
              <w:right w:val="single" w:sz="4" w:space="0" w:color="auto"/>
            </w:tcBorders>
          </w:tcPr>
          <w:p w14:paraId="077DE33B" w14:textId="77777777" w:rsidR="00F26E61" w:rsidRPr="00F97146" w:rsidDel="00394D9C" w:rsidRDefault="00F26E61" w:rsidP="00407A8E">
            <w:pPr>
              <w:spacing w:line="276" w:lineRule="auto"/>
              <w:ind w:left="75"/>
              <w:jc w:val="center"/>
              <w:rPr>
                <w:rFonts w:eastAsia="Segoe UI" w:cs="Segoe UI"/>
                <w:iCs w:val="0"/>
                <w:sz w:val="18"/>
                <w:szCs w:val="14"/>
              </w:rPr>
            </w:pPr>
            <w:r w:rsidRPr="00F97146">
              <w:rPr>
                <w:iCs w:val="0"/>
                <w:sz w:val="18"/>
                <w:szCs w:val="14"/>
                <w:lang w:val="fr-FR"/>
              </w:rPr>
              <w:t>1</w:t>
            </w:r>
          </w:p>
        </w:tc>
        <w:tc>
          <w:tcPr>
            <w:tcW w:w="1134" w:type="dxa"/>
            <w:tcBorders>
              <w:top w:val="single" w:sz="4" w:space="0" w:color="auto"/>
              <w:left w:val="single" w:sz="4" w:space="0" w:color="auto"/>
              <w:bottom w:val="single" w:sz="4" w:space="0" w:color="auto"/>
              <w:right w:val="single" w:sz="4" w:space="0" w:color="auto"/>
            </w:tcBorders>
          </w:tcPr>
          <w:p w14:paraId="0382F819" w14:textId="77777777" w:rsidR="00F26E61" w:rsidRPr="00F97146" w:rsidRDefault="00F26E61" w:rsidP="00407A8E">
            <w:pPr>
              <w:spacing w:line="276" w:lineRule="auto"/>
              <w:jc w:val="center"/>
              <w:rPr>
                <w:rFonts w:eastAsia="Segoe UI" w:cs="Segoe UI"/>
                <w:iCs w:val="0"/>
                <w:sz w:val="18"/>
                <w:szCs w:val="14"/>
              </w:rPr>
            </w:pPr>
            <w:r w:rsidRPr="00F97146">
              <w:rPr>
                <w:rFonts w:eastAsia="Segoe UI" w:cs="Segoe UI"/>
                <w:iCs w:val="0"/>
                <w:sz w:val="18"/>
                <w:szCs w:val="14"/>
              </w:rPr>
              <w:t>43</w:t>
            </w:r>
          </w:p>
        </w:tc>
        <w:tc>
          <w:tcPr>
            <w:tcW w:w="1134" w:type="dxa"/>
            <w:tcBorders>
              <w:top w:val="single" w:sz="4" w:space="0" w:color="auto"/>
              <w:left w:val="single" w:sz="4" w:space="0" w:color="auto"/>
              <w:bottom w:val="single" w:sz="4" w:space="0" w:color="auto"/>
              <w:right w:val="single" w:sz="4" w:space="0" w:color="auto"/>
            </w:tcBorders>
          </w:tcPr>
          <w:p w14:paraId="52748A42" w14:textId="77777777" w:rsidR="00F26E61" w:rsidRPr="00F97146" w:rsidRDefault="00F26E61" w:rsidP="00407A8E">
            <w:pPr>
              <w:spacing w:line="276" w:lineRule="auto"/>
              <w:ind w:left="14"/>
              <w:jc w:val="center"/>
              <w:rPr>
                <w:rFonts w:eastAsia="Segoe UI" w:cs="Segoe UI"/>
                <w:iCs w:val="0"/>
                <w:sz w:val="18"/>
                <w:szCs w:val="14"/>
              </w:rPr>
            </w:pPr>
            <w:r w:rsidRPr="00F97146">
              <w:rPr>
                <w:rFonts w:eastAsia="Segoe UI" w:cs="Segoe UI"/>
                <w:iCs w:val="0"/>
                <w:sz w:val="18"/>
                <w:szCs w:val="14"/>
              </w:rPr>
              <w:t>e(ii)</w:t>
            </w:r>
          </w:p>
          <w:p w14:paraId="5BE8E223" w14:textId="77777777" w:rsidR="00F26E61" w:rsidRPr="00F97146" w:rsidRDefault="00F26E61" w:rsidP="00407A8E">
            <w:pPr>
              <w:spacing w:line="276" w:lineRule="auto"/>
              <w:ind w:left="14"/>
              <w:jc w:val="center"/>
              <w:rPr>
                <w:rFonts w:eastAsia="Segoe UI" w:cs="Segoe UI"/>
                <w:iCs w:val="0"/>
                <w:sz w:val="18"/>
                <w:szCs w:val="14"/>
              </w:rPr>
            </w:pPr>
          </w:p>
        </w:tc>
        <w:tc>
          <w:tcPr>
            <w:tcW w:w="4840" w:type="dxa"/>
            <w:tcBorders>
              <w:top w:val="single" w:sz="4" w:space="0" w:color="auto"/>
              <w:left w:val="single" w:sz="4" w:space="0" w:color="auto"/>
              <w:bottom w:val="single" w:sz="4" w:space="0" w:color="auto"/>
              <w:right w:val="single" w:sz="4" w:space="0" w:color="auto"/>
            </w:tcBorders>
          </w:tcPr>
          <w:p w14:paraId="10384297" w14:textId="77777777" w:rsidR="00F26E61" w:rsidRPr="00F97146" w:rsidRDefault="00F26E61" w:rsidP="00407A8E">
            <w:pPr>
              <w:rPr>
                <w:rFonts w:eastAsia="Segoe UI" w:cs="Segoe UI"/>
                <w:iCs w:val="0"/>
                <w:sz w:val="18"/>
                <w:szCs w:val="14"/>
                <w:lang w:val="en-US"/>
              </w:rPr>
            </w:pPr>
            <w:r w:rsidRPr="00F97146">
              <w:rPr>
                <w:rFonts w:eastAsia="Segoe UI" w:cs="Segoe UI"/>
                <w:iCs w:val="0"/>
                <w:sz w:val="18"/>
                <w:szCs w:val="14"/>
                <w:lang w:val="en-US"/>
              </w:rPr>
              <w:t>Art 52.7c states that manufacturers may not involve a NB if the manufacturer self-declares that relevant harmonized standards or CS have been applied. If they do not self-declare this, they must involve a NB for conformity assessment. This suggested approach is not comprehensible as the NB has to consider the relevant harmonized standards, and CS or state-of-the-art criteria.</w:t>
            </w:r>
          </w:p>
          <w:p w14:paraId="595F6795" w14:textId="77777777" w:rsidR="00F26E61" w:rsidRPr="00F97146" w:rsidRDefault="00F26E61" w:rsidP="00407A8E">
            <w:pPr>
              <w:rPr>
                <w:rFonts w:eastAsia="Segoe UI" w:cs="Segoe UI"/>
                <w:iCs w:val="0"/>
                <w:sz w:val="18"/>
                <w:szCs w:val="14"/>
                <w:lang w:val="en-US"/>
              </w:rPr>
            </w:pPr>
          </w:p>
          <w:p w14:paraId="3C1598F8" w14:textId="77777777" w:rsidR="00F26E61" w:rsidRPr="00F97146" w:rsidRDefault="00F26E61" w:rsidP="00407A8E">
            <w:pPr>
              <w:rPr>
                <w:rFonts w:eastAsia="Segoe UI" w:cs="Segoe UI"/>
                <w:iCs w:val="0"/>
                <w:sz w:val="18"/>
                <w:szCs w:val="14"/>
                <w:lang w:val="en-US"/>
              </w:rPr>
            </w:pPr>
            <w:r w:rsidRPr="00F97146">
              <w:rPr>
                <w:rFonts w:eastAsia="Segoe UI" w:cs="Segoe UI"/>
                <w:iCs w:val="0"/>
                <w:sz w:val="18"/>
                <w:szCs w:val="14"/>
                <w:lang w:val="en-US"/>
              </w:rPr>
              <w:t>Specifically in combination with the proposed down-classification in Annex VIII, rule 6 and 7 “regardless of the body part with which they come into contact” the proposed removal of scrutiny for those devices is concerning for patient’s safety (practical experiences of NBs and laboratories regarding reprocessing data below).</w:t>
            </w:r>
          </w:p>
          <w:p w14:paraId="239A33C5" w14:textId="77777777" w:rsidR="00F26E61" w:rsidRPr="00F97146" w:rsidRDefault="00F26E61" w:rsidP="00407A8E">
            <w:pPr>
              <w:rPr>
                <w:rFonts w:eastAsia="Segoe UI" w:cs="Segoe UI"/>
                <w:iCs w:val="0"/>
                <w:sz w:val="18"/>
                <w:szCs w:val="14"/>
                <w:lang w:val="en-US"/>
              </w:rPr>
            </w:pPr>
          </w:p>
          <w:p w14:paraId="6DC0BF97" w14:textId="77777777" w:rsidR="00F26E61" w:rsidRPr="00F97146" w:rsidRDefault="00F26E61" w:rsidP="00407A8E">
            <w:pPr>
              <w:rPr>
                <w:rFonts w:eastAsia="Segoe UI" w:cs="Segoe UI"/>
                <w:iCs w:val="0"/>
                <w:sz w:val="18"/>
                <w:szCs w:val="14"/>
                <w:lang w:val="en-US"/>
              </w:rPr>
            </w:pPr>
            <w:r w:rsidRPr="00F97146">
              <w:rPr>
                <w:rFonts w:eastAsia="Segoe UI" w:cs="Segoe UI"/>
                <w:iCs w:val="0"/>
                <w:sz w:val="18"/>
                <w:szCs w:val="14"/>
                <w:lang w:val="en-US"/>
              </w:rPr>
              <w:t>Furthermore, no impact analysis could be found that estimates the potential costs for the overall European healthcare system that may arise from dismantling the enhanced infection protection introduced by the current MDR requirements for instrument</w:t>
            </w:r>
            <w:r w:rsidRPr="00F97146">
              <w:rPr>
                <w:rFonts w:eastAsia="Segoe UI" w:cs="Segoe UI"/>
                <w:iCs w:val="0"/>
                <w:sz w:val="18"/>
                <w:szCs w:val="14"/>
                <w:lang w:val="en-US"/>
              </w:rPr>
              <w:noBreakHyphen/>
              <w:t>related surgical interventions.</w:t>
            </w:r>
          </w:p>
          <w:p w14:paraId="1682F872" w14:textId="77777777" w:rsidR="00F26E61" w:rsidRPr="00F97146" w:rsidRDefault="00F26E61" w:rsidP="00407A8E">
            <w:pPr>
              <w:spacing w:before="60"/>
              <w:rPr>
                <w:rFonts w:eastAsia="Segoe UI" w:cs="Segoe UI"/>
                <w:iCs w:val="0"/>
                <w:sz w:val="18"/>
                <w:szCs w:val="14"/>
                <w:lang w:val="en-US"/>
              </w:rPr>
            </w:pPr>
            <w:r w:rsidRPr="00F97146">
              <w:rPr>
                <w:rFonts w:eastAsia="Segoe UI" w:cs="Segoe UI"/>
                <w:iCs w:val="0"/>
                <w:sz w:val="18"/>
                <w:szCs w:val="14"/>
                <w:lang w:val="en-US"/>
              </w:rPr>
              <w:lastRenderedPageBreak/>
              <w:t>Practical experiences of NBs and laboratories regarding reprocessing data:</w:t>
            </w:r>
          </w:p>
          <w:p w14:paraId="3981F92B" w14:textId="77777777" w:rsidR="00F26E61" w:rsidRPr="00F97146" w:rsidRDefault="00F26E61" w:rsidP="00F26E61">
            <w:pPr>
              <w:numPr>
                <w:ilvl w:val="0"/>
                <w:numId w:val="74"/>
              </w:numPr>
              <w:spacing w:before="60" w:after="0"/>
              <w:rPr>
                <w:rFonts w:eastAsia="Segoe UI" w:cs="Segoe UI"/>
                <w:iCs w:val="0"/>
                <w:sz w:val="18"/>
                <w:szCs w:val="14"/>
                <w:lang w:val="en-US"/>
              </w:rPr>
            </w:pPr>
            <w:r w:rsidRPr="00F97146">
              <w:rPr>
                <w:rFonts w:eastAsia="Segoe UI" w:cs="Segoe UI"/>
                <w:iCs w:val="0"/>
                <w:sz w:val="18"/>
                <w:szCs w:val="14"/>
                <w:lang w:val="en-US"/>
              </w:rPr>
              <w:t>majority of lifetime data including biocompatibility are lacking full evidence</w:t>
            </w:r>
          </w:p>
          <w:p w14:paraId="4A40B299" w14:textId="77777777" w:rsidR="00F26E61" w:rsidRPr="00F97146" w:rsidRDefault="00F26E61" w:rsidP="00F26E61">
            <w:pPr>
              <w:numPr>
                <w:ilvl w:val="0"/>
                <w:numId w:val="74"/>
              </w:numPr>
              <w:spacing w:before="60" w:after="0"/>
              <w:rPr>
                <w:rFonts w:eastAsia="Segoe UI" w:cs="Segoe UI"/>
                <w:iCs w:val="0"/>
                <w:sz w:val="18"/>
                <w:szCs w:val="14"/>
                <w:lang w:val="en-US"/>
              </w:rPr>
            </w:pPr>
            <w:r w:rsidRPr="00F97146">
              <w:rPr>
                <w:rFonts w:eastAsia="Segoe UI" w:cs="Segoe UI"/>
                <w:iCs w:val="0"/>
                <w:sz w:val="18"/>
                <w:szCs w:val="14"/>
                <w:lang w:val="en-US"/>
              </w:rPr>
              <w:t>50-80% of manufacturers outside of the central European region abandon a disinfection step before sterilization in IFU and efficacy testing thereof</w:t>
            </w:r>
          </w:p>
          <w:p w14:paraId="2F107877" w14:textId="77777777" w:rsidR="00F26E61" w:rsidRPr="00F97146" w:rsidRDefault="00F26E61" w:rsidP="00407A8E">
            <w:pPr>
              <w:spacing w:before="60"/>
              <w:ind w:left="720"/>
              <w:rPr>
                <w:rFonts w:eastAsia="Segoe UI" w:cs="Segoe UI"/>
                <w:iCs w:val="0"/>
                <w:sz w:val="18"/>
                <w:szCs w:val="14"/>
                <w:lang w:val="en-US"/>
              </w:rPr>
            </w:pPr>
          </w:p>
          <w:p w14:paraId="25EA41C0" w14:textId="77777777" w:rsidR="00F26E61" w:rsidRPr="00F97146" w:rsidRDefault="00F26E61" w:rsidP="00407A8E">
            <w:pPr>
              <w:spacing w:line="276" w:lineRule="auto"/>
              <w:rPr>
                <w:rFonts w:eastAsia="Segoe UI" w:cs="Segoe UI"/>
                <w:iCs w:val="0"/>
                <w:sz w:val="18"/>
                <w:szCs w:val="14"/>
              </w:rPr>
            </w:pPr>
            <w:r w:rsidRPr="00F97146">
              <w:rPr>
                <w:rFonts w:eastAsia="Segoe UI" w:cs="Segoe UI"/>
                <w:iCs w:val="0"/>
                <w:sz w:val="18"/>
                <w:szCs w:val="14"/>
                <w:lang w:val="en-US"/>
              </w:rPr>
              <w:t>According to well-established accredited test laboratories recognized for ISO 17664, the majority of MDR triggered reprocessing validations are insufficient and do not comply with the claimed harmonized standard EN ISO 17664. Specifically, the manufacturer is not able to present an IFU with correct reprocessing instructions complying with ISO 17664 and related standards and guidelines. That does not support the thesis that proposed change of Art 52.7c can be considered as a reliable approach to safeguarding a high level of patient safety.</w:t>
            </w:r>
          </w:p>
        </w:tc>
        <w:tc>
          <w:tcPr>
            <w:tcW w:w="5528" w:type="dxa"/>
            <w:tcBorders>
              <w:top w:val="single" w:sz="4" w:space="0" w:color="auto"/>
              <w:left w:val="single" w:sz="4" w:space="0" w:color="auto"/>
              <w:bottom w:val="single" w:sz="4" w:space="0" w:color="auto"/>
              <w:right w:val="single" w:sz="4" w:space="0" w:color="auto"/>
            </w:tcBorders>
          </w:tcPr>
          <w:p w14:paraId="17F50659" w14:textId="17B8E5FA" w:rsidR="003E2C05" w:rsidRPr="003E2C05" w:rsidRDefault="003E2C05" w:rsidP="00407A8E">
            <w:pPr>
              <w:rPr>
                <w:rFonts w:eastAsia="Segoe UI" w:cs="Segoe UI"/>
                <w:iCs w:val="0"/>
                <w:sz w:val="18"/>
                <w:szCs w:val="14"/>
              </w:rPr>
            </w:pPr>
            <w:r w:rsidRPr="003E2C05">
              <w:rPr>
                <w:rFonts w:eastAsia="Segoe UI" w:cs="Segoe UI"/>
                <w:iCs w:val="0"/>
                <w:sz w:val="18"/>
                <w:szCs w:val="14"/>
                <w:lang w:val="en-US"/>
              </w:rPr>
              <w:lastRenderedPageBreak/>
              <w:t xml:space="preserve">Remove addition of </w:t>
            </w:r>
            <w:r>
              <w:rPr>
                <w:rFonts w:eastAsia="Segoe UI" w:cs="Segoe UI"/>
                <w:iCs w:val="0"/>
                <w:sz w:val="18"/>
                <w:szCs w:val="14"/>
                <w:lang w:val="en-US"/>
              </w:rPr>
              <w:t>“</w:t>
            </w:r>
            <w:r w:rsidRPr="003E2C05">
              <w:rPr>
                <w:rFonts w:eastAsia="Segoe UI" w:cs="Segoe UI"/>
                <w:i/>
                <w:sz w:val="18"/>
                <w:szCs w:val="14"/>
              </w:rPr>
              <w:t>Where the manufacturer of class I reusable surgical instruments has applied harmonised standards or CS covering all relevant aspects referred to in the first subparagraph, point (c), the involvement of a notified body is not required</w:t>
            </w:r>
            <w:r w:rsidRPr="003E2C05">
              <w:rPr>
                <w:rFonts w:eastAsia="Segoe UI" w:cs="Segoe UI"/>
                <w:iCs w:val="0"/>
                <w:sz w:val="18"/>
                <w:szCs w:val="14"/>
              </w:rPr>
              <w:t>.”</w:t>
            </w:r>
          </w:p>
          <w:p w14:paraId="44DA4D42" w14:textId="77777777" w:rsidR="003E2C05" w:rsidRDefault="003E2C05" w:rsidP="003E2C05">
            <w:pPr>
              <w:rPr>
                <w:rFonts w:eastAsia="Segoe UI" w:cs="Segoe UI"/>
                <w:iCs w:val="0"/>
                <w:sz w:val="18"/>
                <w:szCs w:val="14"/>
                <w:lang w:val="en-US"/>
              </w:rPr>
            </w:pPr>
            <w:r w:rsidRPr="003E2C05">
              <w:rPr>
                <w:rFonts w:eastAsia="Segoe UI" w:cs="Segoe UI"/>
                <w:iCs w:val="0"/>
                <w:sz w:val="18"/>
                <w:szCs w:val="14"/>
                <w:lang w:val="en-US"/>
              </w:rPr>
              <w:t>Reinstate existing Art 52(7c).</w:t>
            </w:r>
          </w:p>
          <w:p w14:paraId="1BD4D732" w14:textId="7F1D397F" w:rsidR="003E2C05" w:rsidRPr="00F97146" w:rsidRDefault="003E2C05" w:rsidP="00407A8E">
            <w:pPr>
              <w:rPr>
                <w:rFonts w:cs="Segoe UI"/>
                <w:iCs w:val="0"/>
                <w:sz w:val="18"/>
                <w:szCs w:val="14"/>
              </w:rPr>
            </w:pPr>
          </w:p>
        </w:tc>
      </w:tr>
      <w:tr w:rsidR="00F26E61" w:rsidRPr="00F97146" w14:paraId="0FC4DFED" w14:textId="77777777" w:rsidTr="0022597C">
        <w:tc>
          <w:tcPr>
            <w:tcW w:w="568" w:type="dxa"/>
          </w:tcPr>
          <w:p w14:paraId="5B0B4E09" w14:textId="77777777" w:rsidR="00F26E61" w:rsidRPr="00F97146" w:rsidRDefault="00F26E61" w:rsidP="00407A8E">
            <w:pPr>
              <w:spacing w:line="276" w:lineRule="auto"/>
              <w:ind w:left="-48" w:firstLine="6"/>
              <w:jc w:val="center"/>
              <w:rPr>
                <w:iCs w:val="0"/>
                <w:sz w:val="18"/>
                <w:szCs w:val="14"/>
                <w:lang w:val="en-US"/>
              </w:rPr>
            </w:pPr>
            <w:r w:rsidRPr="00F97146">
              <w:rPr>
                <w:iCs w:val="0"/>
                <w:sz w:val="18"/>
                <w:szCs w:val="14"/>
                <w:lang w:val="en-US"/>
              </w:rPr>
              <w:t>28</w:t>
            </w:r>
          </w:p>
        </w:tc>
        <w:tc>
          <w:tcPr>
            <w:tcW w:w="1134" w:type="dxa"/>
            <w:tcBorders>
              <w:top w:val="single" w:sz="4" w:space="0" w:color="auto"/>
              <w:left w:val="single" w:sz="4" w:space="0" w:color="auto"/>
              <w:bottom w:val="single" w:sz="4" w:space="0" w:color="auto"/>
              <w:right w:val="single" w:sz="4" w:space="0" w:color="auto"/>
            </w:tcBorders>
          </w:tcPr>
          <w:p w14:paraId="5BBD9A57" w14:textId="77777777" w:rsidR="00F26E61" w:rsidRPr="00F97146" w:rsidRDefault="00F26E61" w:rsidP="00407A8E">
            <w:pPr>
              <w:spacing w:line="276" w:lineRule="auto"/>
              <w:ind w:left="-48" w:firstLine="6"/>
              <w:jc w:val="center"/>
              <w:rPr>
                <w:iCs w:val="0"/>
                <w:sz w:val="18"/>
                <w:szCs w:val="14"/>
                <w:lang w:val="en-US"/>
              </w:rPr>
            </w:pPr>
            <w:r w:rsidRPr="00F97146">
              <w:rPr>
                <w:iCs w:val="0"/>
                <w:sz w:val="18"/>
                <w:szCs w:val="14"/>
                <w:lang w:val="en-US"/>
              </w:rPr>
              <w:t>63, 106</w:t>
            </w:r>
          </w:p>
        </w:tc>
        <w:tc>
          <w:tcPr>
            <w:tcW w:w="1114" w:type="dxa"/>
            <w:tcBorders>
              <w:top w:val="single" w:sz="4" w:space="0" w:color="auto"/>
              <w:left w:val="single" w:sz="4" w:space="0" w:color="auto"/>
              <w:bottom w:val="single" w:sz="4" w:space="0" w:color="auto"/>
              <w:right w:val="single" w:sz="4" w:space="0" w:color="auto"/>
            </w:tcBorders>
          </w:tcPr>
          <w:p w14:paraId="13D6EB1A" w14:textId="77777777" w:rsidR="00F26E61" w:rsidRPr="00F97146" w:rsidRDefault="00F26E61" w:rsidP="00407A8E">
            <w:pPr>
              <w:spacing w:line="276" w:lineRule="auto"/>
              <w:ind w:left="75"/>
              <w:jc w:val="center"/>
              <w:rPr>
                <w:iCs w:val="0"/>
                <w:sz w:val="18"/>
                <w:szCs w:val="14"/>
                <w:lang w:val="fr-FR"/>
              </w:rPr>
            </w:pPr>
            <w:r w:rsidRPr="00F97146">
              <w:rPr>
                <w:iCs w:val="0"/>
                <w:sz w:val="18"/>
                <w:szCs w:val="14"/>
                <w:lang w:val="fr-FR"/>
              </w:rPr>
              <w:t>MDR: 1</w:t>
            </w:r>
          </w:p>
          <w:p w14:paraId="370602B6" w14:textId="77777777" w:rsidR="00F26E61" w:rsidRPr="00F97146" w:rsidRDefault="00F26E61" w:rsidP="00407A8E">
            <w:pPr>
              <w:spacing w:line="276" w:lineRule="auto"/>
              <w:ind w:left="75"/>
              <w:jc w:val="center"/>
              <w:rPr>
                <w:iCs w:val="0"/>
                <w:sz w:val="18"/>
                <w:szCs w:val="14"/>
                <w:lang w:val="fr-FR"/>
              </w:rPr>
            </w:pPr>
            <w:r w:rsidRPr="00F97146">
              <w:rPr>
                <w:iCs w:val="0"/>
                <w:sz w:val="18"/>
                <w:szCs w:val="14"/>
                <w:lang w:val="fr-FR"/>
              </w:rPr>
              <w:t>IVDR: 2</w:t>
            </w:r>
          </w:p>
        </w:tc>
        <w:tc>
          <w:tcPr>
            <w:tcW w:w="1134" w:type="dxa"/>
            <w:tcBorders>
              <w:top w:val="single" w:sz="4" w:space="0" w:color="auto"/>
              <w:left w:val="single" w:sz="4" w:space="0" w:color="auto"/>
              <w:bottom w:val="single" w:sz="4" w:space="0" w:color="auto"/>
              <w:right w:val="single" w:sz="4" w:space="0" w:color="auto"/>
            </w:tcBorders>
          </w:tcPr>
          <w:p w14:paraId="7CA2D7C8" w14:textId="77777777" w:rsidR="00F26E61" w:rsidRPr="00F97146" w:rsidRDefault="00F26E61" w:rsidP="00407A8E">
            <w:pPr>
              <w:spacing w:line="276" w:lineRule="auto"/>
              <w:rPr>
                <w:iCs w:val="0"/>
                <w:sz w:val="18"/>
                <w:szCs w:val="14"/>
                <w:lang w:val="en-US"/>
              </w:rPr>
            </w:pPr>
            <w:r w:rsidRPr="00F97146">
              <w:rPr>
                <w:iCs w:val="0"/>
                <w:sz w:val="18"/>
                <w:szCs w:val="14"/>
                <w:lang w:val="en-US"/>
              </w:rPr>
              <w:t>MDR: 44</w:t>
            </w:r>
          </w:p>
          <w:p w14:paraId="0E3D016E" w14:textId="77777777" w:rsidR="00F26E61" w:rsidRPr="00F97146" w:rsidRDefault="00F26E61" w:rsidP="00407A8E">
            <w:pPr>
              <w:spacing w:line="276" w:lineRule="auto"/>
              <w:rPr>
                <w:iCs w:val="0"/>
                <w:sz w:val="18"/>
                <w:szCs w:val="14"/>
                <w:lang w:val="en-US"/>
              </w:rPr>
            </w:pPr>
            <w:r w:rsidRPr="00F97146">
              <w:rPr>
                <w:iCs w:val="0"/>
                <w:sz w:val="18"/>
                <w:szCs w:val="14"/>
                <w:lang w:val="en-US"/>
              </w:rPr>
              <w:t>IVDR: 30</w:t>
            </w:r>
          </w:p>
        </w:tc>
        <w:tc>
          <w:tcPr>
            <w:tcW w:w="1134" w:type="dxa"/>
            <w:tcBorders>
              <w:top w:val="single" w:sz="4" w:space="0" w:color="auto"/>
              <w:left w:val="single" w:sz="4" w:space="0" w:color="auto"/>
              <w:bottom w:val="single" w:sz="4" w:space="0" w:color="auto"/>
              <w:right w:val="single" w:sz="4" w:space="0" w:color="auto"/>
            </w:tcBorders>
          </w:tcPr>
          <w:p w14:paraId="556C907B" w14:textId="77777777" w:rsidR="00F26E61" w:rsidRPr="00F97146" w:rsidRDefault="00F26E61" w:rsidP="00407A8E">
            <w:pPr>
              <w:spacing w:line="276" w:lineRule="auto"/>
              <w:ind w:left="14"/>
              <w:jc w:val="center"/>
              <w:rPr>
                <w:iCs w:val="0"/>
                <w:sz w:val="18"/>
                <w:szCs w:val="14"/>
                <w:lang w:val="en-US"/>
              </w:rPr>
            </w:pPr>
          </w:p>
        </w:tc>
        <w:tc>
          <w:tcPr>
            <w:tcW w:w="4840" w:type="dxa"/>
            <w:tcBorders>
              <w:top w:val="single" w:sz="4" w:space="0" w:color="auto"/>
              <w:left w:val="single" w:sz="4" w:space="0" w:color="auto"/>
              <w:bottom w:val="single" w:sz="4" w:space="0" w:color="auto"/>
              <w:right w:val="single" w:sz="4" w:space="0" w:color="auto"/>
            </w:tcBorders>
          </w:tcPr>
          <w:p w14:paraId="40EFAF60" w14:textId="77777777" w:rsidR="00F26E61" w:rsidRPr="00F97146" w:rsidRDefault="00F26E61" w:rsidP="00407A8E">
            <w:pPr>
              <w:spacing w:line="276" w:lineRule="auto"/>
              <w:rPr>
                <w:bCs/>
                <w:iCs w:val="0"/>
                <w:sz w:val="18"/>
                <w:szCs w:val="14"/>
              </w:rPr>
            </w:pPr>
            <w:r w:rsidRPr="00F97146">
              <w:rPr>
                <w:bCs/>
                <w:iCs w:val="0"/>
                <w:sz w:val="18"/>
                <w:szCs w:val="14"/>
              </w:rPr>
              <w:t>The proposed MDR Art</w:t>
            </w:r>
            <w:r w:rsidRPr="00F97146">
              <w:rPr>
                <w:rFonts w:ascii="Arial" w:hAnsi="Arial" w:cs="Arial"/>
                <w:bCs/>
                <w:iCs w:val="0"/>
                <w:sz w:val="18"/>
                <w:szCs w:val="14"/>
              </w:rPr>
              <w:t> </w:t>
            </w:r>
            <w:r w:rsidRPr="00F97146">
              <w:rPr>
                <w:bCs/>
                <w:iCs w:val="0"/>
                <w:sz w:val="18"/>
                <w:szCs w:val="14"/>
              </w:rPr>
              <w:t>52a and proposed IVDR Art</w:t>
            </w:r>
            <w:r w:rsidRPr="00F97146">
              <w:rPr>
                <w:rFonts w:ascii="Arial" w:hAnsi="Arial" w:cs="Arial"/>
                <w:bCs/>
                <w:iCs w:val="0"/>
                <w:sz w:val="18"/>
                <w:szCs w:val="14"/>
              </w:rPr>
              <w:t> </w:t>
            </w:r>
            <w:r w:rsidRPr="00F97146">
              <w:rPr>
                <w:bCs/>
                <w:iCs w:val="0"/>
                <w:sz w:val="18"/>
                <w:szCs w:val="14"/>
              </w:rPr>
              <w:t>48a introduce Union</w:t>
            </w:r>
            <w:r w:rsidRPr="00F97146">
              <w:rPr>
                <w:bCs/>
                <w:iCs w:val="0"/>
                <w:sz w:val="18"/>
                <w:szCs w:val="14"/>
              </w:rPr>
              <w:noBreakHyphen/>
              <w:t>level mechanisms for the designation of:</w:t>
            </w:r>
          </w:p>
          <w:p w14:paraId="4627D6E8" w14:textId="77777777" w:rsidR="00F26E61" w:rsidRPr="00F97146" w:rsidRDefault="00F26E61" w:rsidP="00F26E61">
            <w:pPr>
              <w:numPr>
                <w:ilvl w:val="0"/>
                <w:numId w:val="67"/>
              </w:numPr>
              <w:spacing w:after="0" w:line="276" w:lineRule="auto"/>
              <w:rPr>
                <w:bCs/>
                <w:iCs w:val="0"/>
                <w:sz w:val="18"/>
                <w:szCs w:val="14"/>
              </w:rPr>
            </w:pPr>
            <w:r w:rsidRPr="00F97146">
              <w:rPr>
                <w:bCs/>
                <w:iCs w:val="0"/>
                <w:sz w:val="18"/>
                <w:szCs w:val="14"/>
              </w:rPr>
              <w:t>Breakthrough devices / breakthrough IVDs, and</w:t>
            </w:r>
          </w:p>
          <w:p w14:paraId="016C64BE" w14:textId="77777777" w:rsidR="00F26E61" w:rsidRPr="00F97146" w:rsidRDefault="00F26E61" w:rsidP="00F26E61">
            <w:pPr>
              <w:numPr>
                <w:ilvl w:val="0"/>
                <w:numId w:val="67"/>
              </w:numPr>
              <w:spacing w:after="0" w:line="276" w:lineRule="auto"/>
              <w:rPr>
                <w:bCs/>
                <w:iCs w:val="0"/>
                <w:sz w:val="18"/>
                <w:szCs w:val="14"/>
              </w:rPr>
            </w:pPr>
            <w:r w:rsidRPr="00F97146">
              <w:rPr>
                <w:bCs/>
                <w:iCs w:val="0"/>
                <w:sz w:val="18"/>
                <w:szCs w:val="14"/>
              </w:rPr>
              <w:t>Orphan devices / orphan IVDs.</w:t>
            </w:r>
          </w:p>
          <w:p w14:paraId="36617410" w14:textId="77777777" w:rsidR="00F26E61" w:rsidRPr="00F97146" w:rsidRDefault="00F26E61" w:rsidP="00407A8E">
            <w:pPr>
              <w:spacing w:line="276" w:lineRule="auto"/>
              <w:ind w:left="720"/>
              <w:rPr>
                <w:bCs/>
                <w:iCs w:val="0"/>
                <w:sz w:val="18"/>
                <w:szCs w:val="14"/>
              </w:rPr>
            </w:pPr>
          </w:p>
          <w:p w14:paraId="53AE55A4" w14:textId="77777777" w:rsidR="00F26E61" w:rsidRPr="00F97146" w:rsidRDefault="00F26E61" w:rsidP="00407A8E">
            <w:pPr>
              <w:spacing w:line="276" w:lineRule="auto"/>
              <w:rPr>
                <w:bCs/>
                <w:iCs w:val="0"/>
                <w:sz w:val="18"/>
                <w:szCs w:val="14"/>
              </w:rPr>
            </w:pPr>
            <w:r w:rsidRPr="00F97146">
              <w:rPr>
                <w:bCs/>
                <w:iCs w:val="0"/>
                <w:sz w:val="18"/>
                <w:szCs w:val="14"/>
              </w:rPr>
              <w:t xml:space="preserve">These mechanisms are intended to promote access to technologies addressing unmet medical needs, rare conditions, or serious clinical challenges, and may involve </w:t>
            </w:r>
            <w:r w:rsidRPr="00F97146">
              <w:rPr>
                <w:bCs/>
                <w:iCs w:val="0"/>
                <w:sz w:val="18"/>
                <w:szCs w:val="14"/>
              </w:rPr>
              <w:lastRenderedPageBreak/>
              <w:t>priority review, rolling review and adapted evidence pathways.</w:t>
            </w:r>
          </w:p>
          <w:p w14:paraId="621852FC" w14:textId="77777777" w:rsidR="00F26E61" w:rsidRPr="00F97146" w:rsidRDefault="00F26E61" w:rsidP="00407A8E">
            <w:pPr>
              <w:spacing w:line="276" w:lineRule="auto"/>
              <w:rPr>
                <w:bCs/>
                <w:iCs w:val="0"/>
                <w:sz w:val="18"/>
                <w:szCs w:val="14"/>
              </w:rPr>
            </w:pPr>
          </w:p>
          <w:p w14:paraId="5A3488A7" w14:textId="77777777" w:rsidR="00F26E61" w:rsidRPr="00F97146" w:rsidRDefault="00F26E61" w:rsidP="00407A8E">
            <w:pPr>
              <w:spacing w:line="276" w:lineRule="auto"/>
              <w:rPr>
                <w:bCs/>
                <w:iCs w:val="0"/>
                <w:sz w:val="18"/>
                <w:szCs w:val="14"/>
              </w:rPr>
            </w:pPr>
            <w:proofErr w:type="spellStart"/>
            <w:r w:rsidRPr="00F97146">
              <w:rPr>
                <w:bCs/>
                <w:iCs w:val="0"/>
                <w:sz w:val="18"/>
                <w:szCs w:val="14"/>
              </w:rPr>
              <w:t>BtX</w:t>
            </w:r>
            <w:proofErr w:type="spellEnd"/>
            <w:r w:rsidRPr="00F97146">
              <w:rPr>
                <w:bCs/>
                <w:iCs w:val="0"/>
                <w:sz w:val="18"/>
                <w:szCs w:val="14"/>
              </w:rPr>
              <w:t xml:space="preserve"> and Orphan designations have a higher regulatory significance than standard Art</w:t>
            </w:r>
            <w:r w:rsidRPr="00F97146">
              <w:rPr>
                <w:rFonts w:ascii="Arial" w:hAnsi="Arial" w:cs="Arial"/>
                <w:bCs/>
                <w:iCs w:val="0"/>
                <w:sz w:val="18"/>
                <w:szCs w:val="14"/>
              </w:rPr>
              <w:t> </w:t>
            </w:r>
            <w:r w:rsidRPr="00F97146">
              <w:rPr>
                <w:bCs/>
                <w:iCs w:val="0"/>
                <w:sz w:val="18"/>
                <w:szCs w:val="14"/>
              </w:rPr>
              <w:t>106 advice, and the proposed MDR/IVDR foresee that Expert Panel recommendations may form the basis for Union</w:t>
            </w:r>
            <w:r w:rsidRPr="00F97146">
              <w:rPr>
                <w:bCs/>
                <w:iCs w:val="0"/>
                <w:sz w:val="18"/>
                <w:szCs w:val="14"/>
              </w:rPr>
              <w:noBreakHyphen/>
              <w:t>level regulatory decisions.</w:t>
            </w:r>
          </w:p>
        </w:tc>
        <w:tc>
          <w:tcPr>
            <w:tcW w:w="5528" w:type="dxa"/>
            <w:tcBorders>
              <w:top w:val="single" w:sz="4" w:space="0" w:color="auto"/>
              <w:left w:val="single" w:sz="4" w:space="0" w:color="auto"/>
              <w:bottom w:val="single" w:sz="4" w:space="0" w:color="auto"/>
              <w:right w:val="single" w:sz="4" w:space="0" w:color="auto"/>
            </w:tcBorders>
          </w:tcPr>
          <w:p w14:paraId="2C6B5938" w14:textId="77777777" w:rsidR="00F26E61" w:rsidRPr="00F97146" w:rsidRDefault="00F26E61" w:rsidP="00407A8E">
            <w:pPr>
              <w:spacing w:line="276" w:lineRule="auto"/>
              <w:rPr>
                <w:bCs/>
                <w:iCs w:val="0"/>
                <w:sz w:val="18"/>
                <w:szCs w:val="14"/>
              </w:rPr>
            </w:pPr>
            <w:r w:rsidRPr="00F97146">
              <w:rPr>
                <w:bCs/>
                <w:iCs w:val="0"/>
                <w:sz w:val="18"/>
                <w:szCs w:val="14"/>
              </w:rPr>
              <w:lastRenderedPageBreak/>
              <w:t xml:space="preserve">The </w:t>
            </w:r>
            <w:proofErr w:type="spellStart"/>
            <w:r w:rsidRPr="00F97146">
              <w:rPr>
                <w:bCs/>
                <w:iCs w:val="0"/>
                <w:sz w:val="18"/>
                <w:szCs w:val="14"/>
              </w:rPr>
              <w:t>BtX</w:t>
            </w:r>
            <w:proofErr w:type="spellEnd"/>
            <w:r w:rsidRPr="00F97146">
              <w:rPr>
                <w:bCs/>
                <w:iCs w:val="0"/>
                <w:sz w:val="18"/>
                <w:szCs w:val="14"/>
              </w:rPr>
              <w:t>/Orphan Standing Panel should:</w:t>
            </w:r>
          </w:p>
          <w:p w14:paraId="2D4A780F" w14:textId="77777777" w:rsidR="00F26E61" w:rsidRPr="00F97146" w:rsidRDefault="00F26E61" w:rsidP="00F26E61">
            <w:pPr>
              <w:numPr>
                <w:ilvl w:val="0"/>
                <w:numId w:val="68"/>
              </w:numPr>
              <w:spacing w:after="0" w:line="276" w:lineRule="auto"/>
              <w:rPr>
                <w:bCs/>
                <w:iCs w:val="0"/>
                <w:sz w:val="18"/>
                <w:szCs w:val="14"/>
              </w:rPr>
            </w:pPr>
            <w:r w:rsidRPr="00F97146">
              <w:rPr>
                <w:bCs/>
                <w:iCs w:val="0"/>
                <w:sz w:val="18"/>
                <w:szCs w:val="14"/>
              </w:rPr>
              <w:t>have stable membership, including Member State representatives, ensuring continuity and legitimacy</w:t>
            </w:r>
          </w:p>
          <w:p w14:paraId="1CECB291" w14:textId="77777777" w:rsidR="00F26E61" w:rsidRPr="00F97146" w:rsidRDefault="00F26E61" w:rsidP="00F26E61">
            <w:pPr>
              <w:numPr>
                <w:ilvl w:val="0"/>
                <w:numId w:val="68"/>
              </w:numPr>
              <w:spacing w:after="0" w:line="276" w:lineRule="auto"/>
              <w:rPr>
                <w:bCs/>
                <w:iCs w:val="0"/>
                <w:sz w:val="18"/>
                <w:szCs w:val="14"/>
              </w:rPr>
            </w:pPr>
            <w:r w:rsidRPr="00F97146">
              <w:rPr>
                <w:bCs/>
                <w:iCs w:val="0"/>
                <w:sz w:val="18"/>
                <w:szCs w:val="14"/>
              </w:rPr>
              <w:t>include academic and NB experts selected under Art</w:t>
            </w:r>
            <w:r w:rsidRPr="00F97146">
              <w:rPr>
                <w:rFonts w:ascii="Arial" w:hAnsi="Arial" w:cs="Arial"/>
                <w:bCs/>
                <w:iCs w:val="0"/>
                <w:sz w:val="18"/>
                <w:szCs w:val="14"/>
              </w:rPr>
              <w:t> </w:t>
            </w:r>
            <w:r w:rsidRPr="00F97146">
              <w:rPr>
                <w:bCs/>
                <w:iCs w:val="0"/>
                <w:sz w:val="18"/>
                <w:szCs w:val="14"/>
              </w:rPr>
              <w:t>106(6) independence rules</w:t>
            </w:r>
          </w:p>
          <w:p w14:paraId="3F8B135B" w14:textId="77777777" w:rsidR="00F26E61" w:rsidRPr="00F97146" w:rsidRDefault="00F26E61" w:rsidP="00F26E61">
            <w:pPr>
              <w:numPr>
                <w:ilvl w:val="0"/>
                <w:numId w:val="68"/>
              </w:numPr>
              <w:spacing w:after="0" w:line="276" w:lineRule="auto"/>
              <w:rPr>
                <w:bCs/>
                <w:iCs w:val="0"/>
                <w:sz w:val="18"/>
                <w:szCs w:val="14"/>
              </w:rPr>
            </w:pPr>
            <w:r w:rsidRPr="00F97146">
              <w:rPr>
                <w:bCs/>
                <w:iCs w:val="0"/>
                <w:sz w:val="18"/>
                <w:szCs w:val="14"/>
              </w:rPr>
              <w:t>provide scientific recommendations capable of being transformed into Union</w:t>
            </w:r>
            <w:r w:rsidRPr="00F97146">
              <w:rPr>
                <w:bCs/>
                <w:iCs w:val="0"/>
                <w:sz w:val="18"/>
                <w:szCs w:val="14"/>
              </w:rPr>
              <w:noBreakHyphen/>
              <w:t>level legally binding decisions, similar to the Orphan medicinal product pathway</w:t>
            </w:r>
          </w:p>
          <w:p w14:paraId="55726A1E" w14:textId="77777777" w:rsidR="00F26E61" w:rsidRPr="00F97146" w:rsidRDefault="00F26E61" w:rsidP="00F26E61">
            <w:pPr>
              <w:numPr>
                <w:ilvl w:val="0"/>
                <w:numId w:val="68"/>
              </w:numPr>
              <w:spacing w:after="0" w:line="276" w:lineRule="auto"/>
              <w:rPr>
                <w:bCs/>
                <w:iCs w:val="0"/>
                <w:sz w:val="18"/>
                <w:szCs w:val="14"/>
              </w:rPr>
            </w:pPr>
            <w:r w:rsidRPr="00F97146">
              <w:rPr>
                <w:bCs/>
                <w:iCs w:val="0"/>
                <w:sz w:val="18"/>
                <w:szCs w:val="14"/>
              </w:rPr>
              <w:t>operate under governance rules aligned with Art</w:t>
            </w:r>
            <w:r w:rsidRPr="00F97146">
              <w:rPr>
                <w:rFonts w:ascii="Arial" w:hAnsi="Arial" w:cs="Arial"/>
                <w:bCs/>
                <w:iCs w:val="0"/>
                <w:sz w:val="18"/>
                <w:szCs w:val="14"/>
              </w:rPr>
              <w:t> </w:t>
            </w:r>
            <w:r w:rsidRPr="00F97146">
              <w:rPr>
                <w:bCs/>
                <w:iCs w:val="0"/>
                <w:sz w:val="18"/>
                <w:szCs w:val="14"/>
              </w:rPr>
              <w:t>106 of the MDR/IVDR.</w:t>
            </w:r>
          </w:p>
          <w:p w14:paraId="215DD57F" w14:textId="77777777" w:rsidR="00F26E61" w:rsidRPr="00F97146" w:rsidRDefault="00F26E61" w:rsidP="00407A8E">
            <w:pPr>
              <w:spacing w:line="276" w:lineRule="auto"/>
              <w:ind w:left="720"/>
              <w:rPr>
                <w:bCs/>
                <w:iCs w:val="0"/>
                <w:sz w:val="18"/>
                <w:szCs w:val="14"/>
              </w:rPr>
            </w:pPr>
          </w:p>
          <w:p w14:paraId="27D41F63" w14:textId="77777777" w:rsidR="00F26E61" w:rsidRPr="00F97146" w:rsidRDefault="00F26E61" w:rsidP="00407A8E">
            <w:pPr>
              <w:spacing w:line="276" w:lineRule="auto"/>
              <w:rPr>
                <w:bCs/>
                <w:iCs w:val="0"/>
                <w:sz w:val="18"/>
                <w:szCs w:val="14"/>
              </w:rPr>
            </w:pPr>
            <w:r w:rsidRPr="00F97146">
              <w:rPr>
                <w:bCs/>
                <w:iCs w:val="0"/>
                <w:sz w:val="18"/>
                <w:szCs w:val="14"/>
              </w:rPr>
              <w:t xml:space="preserve">This Standing Panel should serve both the MDR and the IVDR, reflecting that </w:t>
            </w:r>
            <w:proofErr w:type="spellStart"/>
            <w:r w:rsidRPr="00F97146">
              <w:rPr>
                <w:bCs/>
                <w:iCs w:val="0"/>
                <w:sz w:val="18"/>
                <w:szCs w:val="14"/>
              </w:rPr>
              <w:t>BtX</w:t>
            </w:r>
            <w:proofErr w:type="spellEnd"/>
            <w:r w:rsidRPr="00F97146">
              <w:rPr>
                <w:bCs/>
                <w:iCs w:val="0"/>
                <w:sz w:val="18"/>
                <w:szCs w:val="14"/>
              </w:rPr>
              <w:t>/Orphan mechanisms are introduced in both proposed Art</w:t>
            </w:r>
            <w:r w:rsidRPr="00F97146">
              <w:rPr>
                <w:rFonts w:ascii="Arial" w:hAnsi="Arial" w:cs="Arial"/>
                <w:bCs/>
                <w:iCs w:val="0"/>
                <w:sz w:val="18"/>
                <w:szCs w:val="14"/>
              </w:rPr>
              <w:t> </w:t>
            </w:r>
            <w:r w:rsidRPr="00F97146">
              <w:rPr>
                <w:bCs/>
                <w:iCs w:val="0"/>
                <w:sz w:val="18"/>
                <w:szCs w:val="14"/>
              </w:rPr>
              <w:t>52a MDR and Art</w:t>
            </w:r>
            <w:r w:rsidRPr="00F97146">
              <w:rPr>
                <w:rFonts w:ascii="Arial" w:hAnsi="Arial" w:cs="Arial"/>
                <w:bCs/>
                <w:iCs w:val="0"/>
                <w:sz w:val="18"/>
                <w:szCs w:val="14"/>
              </w:rPr>
              <w:t> </w:t>
            </w:r>
            <w:r w:rsidRPr="00F97146">
              <w:rPr>
                <w:bCs/>
                <w:iCs w:val="0"/>
                <w:sz w:val="18"/>
                <w:szCs w:val="14"/>
              </w:rPr>
              <w:t>48a IVDR. The binding decisions, similar to the orphan medicinal product pathway ensure that NBs are not exposed to undue liability risks when certifying devices supported by emerging or incomplete clinical data.</w:t>
            </w:r>
          </w:p>
        </w:tc>
      </w:tr>
      <w:tr w:rsidR="00F26E61" w:rsidRPr="00F97146" w14:paraId="6AB50CC2" w14:textId="77777777" w:rsidTr="0022597C">
        <w:tc>
          <w:tcPr>
            <w:tcW w:w="568" w:type="dxa"/>
          </w:tcPr>
          <w:p w14:paraId="0ECF3B1A" w14:textId="77777777" w:rsidR="00F26E61" w:rsidRPr="00F97146" w:rsidRDefault="00F26E61" w:rsidP="00407A8E">
            <w:pPr>
              <w:spacing w:line="276" w:lineRule="auto"/>
              <w:ind w:left="-48" w:firstLine="6"/>
              <w:jc w:val="center"/>
              <w:rPr>
                <w:rFonts w:eastAsia="Segoe UI" w:cs="Segoe UI"/>
                <w:iCs w:val="0"/>
                <w:sz w:val="18"/>
                <w:szCs w:val="14"/>
              </w:rPr>
            </w:pPr>
            <w:r w:rsidRPr="00F97146">
              <w:rPr>
                <w:rFonts w:eastAsia="Segoe UI" w:cs="Segoe UI"/>
                <w:iCs w:val="0"/>
                <w:sz w:val="18"/>
                <w:szCs w:val="14"/>
              </w:rPr>
              <w:lastRenderedPageBreak/>
              <w:t>29</w:t>
            </w:r>
          </w:p>
        </w:tc>
        <w:tc>
          <w:tcPr>
            <w:tcW w:w="1134" w:type="dxa"/>
            <w:tcBorders>
              <w:top w:val="single" w:sz="4" w:space="0" w:color="auto"/>
              <w:left w:val="single" w:sz="4" w:space="0" w:color="auto"/>
              <w:bottom w:val="single" w:sz="4" w:space="0" w:color="auto"/>
              <w:right w:val="single" w:sz="4" w:space="0" w:color="auto"/>
            </w:tcBorders>
          </w:tcPr>
          <w:p w14:paraId="3F1B0A2B" w14:textId="77777777" w:rsidR="00F26E61" w:rsidRPr="00F97146" w:rsidRDefault="00F26E61" w:rsidP="00407A8E">
            <w:pPr>
              <w:spacing w:line="276" w:lineRule="auto"/>
              <w:ind w:left="-48" w:firstLine="6"/>
              <w:jc w:val="center"/>
              <w:rPr>
                <w:iCs w:val="0"/>
                <w:sz w:val="18"/>
                <w:szCs w:val="14"/>
                <w:lang w:val="en-US"/>
              </w:rPr>
            </w:pPr>
            <w:r w:rsidRPr="00F97146">
              <w:rPr>
                <w:rFonts w:eastAsia="Segoe UI" w:cs="Segoe UI"/>
                <w:iCs w:val="0"/>
                <w:sz w:val="18"/>
                <w:szCs w:val="14"/>
              </w:rPr>
              <w:t>63</w:t>
            </w:r>
          </w:p>
        </w:tc>
        <w:tc>
          <w:tcPr>
            <w:tcW w:w="1114" w:type="dxa"/>
            <w:tcBorders>
              <w:top w:val="single" w:sz="4" w:space="0" w:color="auto"/>
              <w:left w:val="single" w:sz="4" w:space="0" w:color="auto"/>
              <w:bottom w:val="single" w:sz="4" w:space="0" w:color="auto"/>
              <w:right w:val="single" w:sz="4" w:space="0" w:color="auto"/>
            </w:tcBorders>
          </w:tcPr>
          <w:p w14:paraId="0B61F688" w14:textId="77777777" w:rsidR="00F26E61" w:rsidRPr="00F97146" w:rsidRDefault="00F26E61" w:rsidP="00407A8E">
            <w:pPr>
              <w:spacing w:line="276" w:lineRule="auto"/>
              <w:ind w:left="75"/>
              <w:jc w:val="center"/>
              <w:rPr>
                <w:iCs w:val="0"/>
                <w:sz w:val="18"/>
                <w:szCs w:val="14"/>
                <w:lang w:val="fr-FR"/>
              </w:rPr>
            </w:pPr>
            <w:r w:rsidRPr="00F97146">
              <w:rPr>
                <w:iCs w:val="0"/>
                <w:sz w:val="18"/>
                <w:szCs w:val="14"/>
                <w:lang w:val="fr-FR"/>
              </w:rPr>
              <w:t>1</w:t>
            </w:r>
          </w:p>
        </w:tc>
        <w:tc>
          <w:tcPr>
            <w:tcW w:w="1134" w:type="dxa"/>
            <w:tcBorders>
              <w:top w:val="single" w:sz="4" w:space="0" w:color="auto"/>
              <w:left w:val="single" w:sz="4" w:space="0" w:color="auto"/>
              <w:bottom w:val="single" w:sz="4" w:space="0" w:color="auto"/>
              <w:right w:val="single" w:sz="4" w:space="0" w:color="auto"/>
            </w:tcBorders>
          </w:tcPr>
          <w:p w14:paraId="483B69E4" w14:textId="77777777" w:rsidR="00F26E61" w:rsidRPr="00F97146" w:rsidRDefault="00F26E61" w:rsidP="00407A8E">
            <w:pPr>
              <w:spacing w:line="276" w:lineRule="auto"/>
              <w:jc w:val="center"/>
              <w:rPr>
                <w:iCs w:val="0"/>
                <w:sz w:val="18"/>
                <w:szCs w:val="14"/>
                <w:lang w:val="en-US"/>
              </w:rPr>
            </w:pPr>
            <w:r w:rsidRPr="00F97146">
              <w:rPr>
                <w:iCs w:val="0"/>
                <w:sz w:val="18"/>
                <w:szCs w:val="14"/>
                <w:lang w:val="en-US"/>
              </w:rPr>
              <w:t>44</w:t>
            </w:r>
          </w:p>
        </w:tc>
        <w:tc>
          <w:tcPr>
            <w:tcW w:w="1134" w:type="dxa"/>
            <w:tcBorders>
              <w:top w:val="single" w:sz="4" w:space="0" w:color="auto"/>
              <w:left w:val="single" w:sz="4" w:space="0" w:color="auto"/>
              <w:bottom w:val="single" w:sz="4" w:space="0" w:color="auto"/>
              <w:right w:val="single" w:sz="4" w:space="0" w:color="auto"/>
            </w:tcBorders>
          </w:tcPr>
          <w:p w14:paraId="2A5A294B" w14:textId="77777777" w:rsidR="00F26E61" w:rsidRPr="00F97146" w:rsidRDefault="00F26E61" w:rsidP="00407A8E">
            <w:pPr>
              <w:spacing w:line="276" w:lineRule="auto"/>
              <w:ind w:left="14"/>
              <w:jc w:val="center"/>
              <w:rPr>
                <w:iCs w:val="0"/>
                <w:sz w:val="18"/>
                <w:szCs w:val="14"/>
                <w:lang w:val="en-US"/>
              </w:rPr>
            </w:pPr>
          </w:p>
        </w:tc>
        <w:tc>
          <w:tcPr>
            <w:tcW w:w="4840" w:type="dxa"/>
            <w:tcBorders>
              <w:top w:val="single" w:sz="4" w:space="0" w:color="auto"/>
              <w:left w:val="single" w:sz="4" w:space="0" w:color="auto"/>
              <w:bottom w:val="single" w:sz="4" w:space="0" w:color="auto"/>
              <w:right w:val="single" w:sz="4" w:space="0" w:color="auto"/>
            </w:tcBorders>
          </w:tcPr>
          <w:p w14:paraId="5FEEF770" w14:textId="77777777" w:rsidR="00F26E61" w:rsidRPr="00F97146" w:rsidRDefault="00F26E61" w:rsidP="00407A8E">
            <w:pPr>
              <w:spacing w:line="276" w:lineRule="auto"/>
              <w:rPr>
                <w:bCs/>
                <w:iCs w:val="0"/>
                <w:sz w:val="18"/>
                <w:szCs w:val="14"/>
              </w:rPr>
            </w:pPr>
            <w:r w:rsidRPr="00F97146">
              <w:rPr>
                <w:rFonts w:eastAsia="Segoe UI" w:cs="Segoe UI"/>
                <w:iCs w:val="0"/>
                <w:sz w:val="18"/>
                <w:szCs w:val="14"/>
                <w:lang w:val="en-US"/>
              </w:rPr>
              <w:t>A new Art, Art 52(c) should be introduced which lists of all products that are considered WETs needs to be drawn up by the European Commission.</w:t>
            </w:r>
          </w:p>
        </w:tc>
        <w:tc>
          <w:tcPr>
            <w:tcW w:w="5528" w:type="dxa"/>
            <w:tcBorders>
              <w:top w:val="single" w:sz="4" w:space="0" w:color="auto"/>
              <w:left w:val="single" w:sz="4" w:space="0" w:color="auto"/>
              <w:bottom w:val="single" w:sz="4" w:space="0" w:color="auto"/>
              <w:right w:val="single" w:sz="4" w:space="0" w:color="auto"/>
            </w:tcBorders>
          </w:tcPr>
          <w:p w14:paraId="6D9771AE" w14:textId="77777777" w:rsidR="00F26E61" w:rsidRPr="00F97146" w:rsidRDefault="00F26E61" w:rsidP="00407A8E">
            <w:pPr>
              <w:spacing w:before="60"/>
              <w:rPr>
                <w:rFonts w:eastAsia="Segoe UI" w:cs="Segoe UI"/>
                <w:iCs w:val="0"/>
                <w:sz w:val="18"/>
                <w:szCs w:val="14"/>
                <w:lang w:val="en-US"/>
              </w:rPr>
            </w:pPr>
            <w:r w:rsidRPr="00F97146">
              <w:rPr>
                <w:rFonts w:eastAsia="Segoe UI" w:cs="Segoe UI"/>
                <w:iCs w:val="0"/>
                <w:sz w:val="18"/>
                <w:szCs w:val="14"/>
                <w:lang w:val="en-US"/>
              </w:rPr>
              <w:t>Team NB proposed text (Art 52(c)):</w:t>
            </w:r>
          </w:p>
          <w:p w14:paraId="65F112ED" w14:textId="77777777" w:rsidR="00F26E61" w:rsidRPr="00F97146" w:rsidRDefault="00F26E61" w:rsidP="00407A8E">
            <w:pPr>
              <w:spacing w:before="60"/>
              <w:rPr>
                <w:rFonts w:eastAsia="Segoe UI" w:cs="Segoe UI"/>
                <w:i/>
                <w:sz w:val="18"/>
                <w:szCs w:val="14"/>
                <w:lang w:val="en-US"/>
              </w:rPr>
            </w:pPr>
            <w:r w:rsidRPr="00F97146">
              <w:rPr>
                <w:rFonts w:eastAsia="Segoe UI" w:cs="Segoe UI"/>
                <w:iCs w:val="0"/>
                <w:sz w:val="18"/>
                <w:szCs w:val="14"/>
                <w:lang w:val="en-US"/>
              </w:rPr>
              <w:t>1</w:t>
            </w:r>
            <w:r w:rsidRPr="00F97146">
              <w:rPr>
                <w:rFonts w:eastAsia="Segoe UI" w:cs="Segoe UI"/>
                <w:i/>
                <w:sz w:val="18"/>
                <w:szCs w:val="14"/>
                <w:lang w:val="en-US"/>
              </w:rPr>
              <w:t>. “Upon a duly substantiated request by a manufacturer or a notified body, MDCG shall provide a decision within 30 days as to whether device is a well-established technology.</w:t>
            </w:r>
          </w:p>
          <w:p w14:paraId="6C6FEB88" w14:textId="77777777" w:rsidR="00F26E61" w:rsidRPr="00F97146" w:rsidRDefault="00F26E61" w:rsidP="00407A8E">
            <w:pPr>
              <w:spacing w:before="60"/>
              <w:rPr>
                <w:rFonts w:eastAsia="Segoe UI" w:cs="Segoe UI"/>
                <w:i/>
                <w:sz w:val="18"/>
                <w:szCs w:val="14"/>
                <w:lang w:val="en-US"/>
              </w:rPr>
            </w:pPr>
            <w:r w:rsidRPr="00F97146">
              <w:rPr>
                <w:rFonts w:eastAsia="Segoe UI" w:cs="Segoe UI"/>
                <w:i/>
                <w:sz w:val="18"/>
                <w:szCs w:val="14"/>
                <w:lang w:val="en-US"/>
              </w:rPr>
              <w:t>2. The decision shall be published on a dedicated website without disclosing any confidential information as referred to in Art 109.</w:t>
            </w:r>
          </w:p>
          <w:p w14:paraId="1CABADA7" w14:textId="77777777" w:rsidR="00F26E61" w:rsidRPr="00F97146" w:rsidRDefault="00F26E61" w:rsidP="00407A8E">
            <w:pPr>
              <w:spacing w:before="60"/>
              <w:rPr>
                <w:rFonts w:eastAsia="Segoe UI" w:cs="Segoe UI"/>
                <w:i/>
                <w:sz w:val="18"/>
                <w:szCs w:val="14"/>
                <w:lang w:val="en-US"/>
              </w:rPr>
            </w:pPr>
            <w:r w:rsidRPr="00F97146">
              <w:rPr>
                <w:rFonts w:eastAsia="Segoe UI" w:cs="Segoe UI"/>
                <w:i/>
                <w:sz w:val="18"/>
                <w:szCs w:val="14"/>
                <w:lang w:val="en-US"/>
              </w:rPr>
              <w:t>3. The decision shall be binding for the manufacturer and the notified body.</w:t>
            </w:r>
          </w:p>
          <w:p w14:paraId="0131B338" w14:textId="77777777" w:rsidR="00F26E61" w:rsidRPr="00F97146" w:rsidRDefault="00F26E61" w:rsidP="00407A8E">
            <w:pPr>
              <w:spacing w:line="276" w:lineRule="auto"/>
              <w:rPr>
                <w:bCs/>
                <w:iCs w:val="0"/>
                <w:sz w:val="18"/>
                <w:szCs w:val="14"/>
              </w:rPr>
            </w:pPr>
            <w:r w:rsidRPr="00F97146">
              <w:rPr>
                <w:rFonts w:eastAsia="Segoe UI" w:cs="Segoe UI"/>
                <w:i/>
                <w:sz w:val="18"/>
                <w:szCs w:val="14"/>
                <w:lang w:val="en-US"/>
              </w:rPr>
              <w:t>4. Only devices listed in accordance with Art 3 or for which a decision according to paragraph 1 of this Art is available are considered to be a well-established technology.”</w:t>
            </w:r>
          </w:p>
        </w:tc>
      </w:tr>
      <w:tr w:rsidR="00F26E61" w:rsidRPr="00F97146" w14:paraId="1A277658" w14:textId="77777777" w:rsidTr="0022597C">
        <w:tc>
          <w:tcPr>
            <w:tcW w:w="568" w:type="dxa"/>
          </w:tcPr>
          <w:p w14:paraId="3EB76F21" w14:textId="77777777" w:rsidR="00F26E61" w:rsidRPr="00F97146" w:rsidRDefault="00F26E61" w:rsidP="00407A8E">
            <w:pPr>
              <w:spacing w:line="276" w:lineRule="auto"/>
              <w:ind w:left="-48" w:firstLine="6"/>
              <w:jc w:val="center"/>
              <w:rPr>
                <w:iCs w:val="0"/>
                <w:sz w:val="18"/>
                <w:szCs w:val="14"/>
                <w:lang w:val="en-US"/>
              </w:rPr>
            </w:pPr>
            <w:r w:rsidRPr="00F97146">
              <w:rPr>
                <w:iCs w:val="0"/>
                <w:sz w:val="18"/>
                <w:szCs w:val="14"/>
                <w:lang w:val="en-US"/>
              </w:rPr>
              <w:t>30</w:t>
            </w:r>
          </w:p>
        </w:tc>
        <w:tc>
          <w:tcPr>
            <w:tcW w:w="1134" w:type="dxa"/>
            <w:tcBorders>
              <w:top w:val="single" w:sz="4" w:space="0" w:color="auto"/>
              <w:left w:val="single" w:sz="4" w:space="0" w:color="auto"/>
              <w:bottom w:val="single" w:sz="4" w:space="0" w:color="auto"/>
              <w:right w:val="single" w:sz="4" w:space="0" w:color="auto"/>
            </w:tcBorders>
            <w:hideMark/>
          </w:tcPr>
          <w:p w14:paraId="1E2F2593" w14:textId="77777777" w:rsidR="00F26E61" w:rsidRPr="00F97146" w:rsidRDefault="00F26E61" w:rsidP="00407A8E">
            <w:pPr>
              <w:spacing w:line="276" w:lineRule="auto"/>
              <w:ind w:left="-48" w:firstLine="6"/>
              <w:jc w:val="center"/>
              <w:rPr>
                <w:b/>
                <w:iCs w:val="0"/>
                <w:sz w:val="18"/>
                <w:szCs w:val="14"/>
              </w:rPr>
            </w:pPr>
            <w:r w:rsidRPr="00F97146">
              <w:rPr>
                <w:iCs w:val="0"/>
                <w:sz w:val="18"/>
                <w:szCs w:val="14"/>
                <w:lang w:val="en-US"/>
              </w:rPr>
              <w:t>65, 83, 85, 114, 115</w:t>
            </w:r>
          </w:p>
        </w:tc>
        <w:tc>
          <w:tcPr>
            <w:tcW w:w="1114" w:type="dxa"/>
            <w:tcBorders>
              <w:top w:val="single" w:sz="4" w:space="0" w:color="auto"/>
              <w:left w:val="single" w:sz="4" w:space="0" w:color="auto"/>
              <w:bottom w:val="single" w:sz="4" w:space="0" w:color="auto"/>
              <w:right w:val="single" w:sz="4" w:space="0" w:color="auto"/>
            </w:tcBorders>
            <w:hideMark/>
          </w:tcPr>
          <w:p w14:paraId="11C1310D" w14:textId="77777777" w:rsidR="00F26E61" w:rsidRPr="00F97146" w:rsidRDefault="00F26E61" w:rsidP="00407A8E">
            <w:pPr>
              <w:spacing w:line="276" w:lineRule="auto"/>
              <w:ind w:left="75"/>
              <w:jc w:val="center"/>
              <w:rPr>
                <w:iCs w:val="0"/>
                <w:sz w:val="18"/>
                <w:szCs w:val="14"/>
                <w:lang w:val="fr-FR"/>
              </w:rPr>
            </w:pPr>
            <w:r w:rsidRPr="00F97146">
              <w:rPr>
                <w:iCs w:val="0"/>
                <w:sz w:val="18"/>
                <w:szCs w:val="14"/>
                <w:lang w:val="fr-FR"/>
              </w:rPr>
              <w:t>MDR: 1</w:t>
            </w:r>
          </w:p>
          <w:p w14:paraId="3B837F7D" w14:textId="77777777" w:rsidR="00F26E61" w:rsidRPr="00F97146" w:rsidRDefault="00F26E61" w:rsidP="00407A8E">
            <w:pPr>
              <w:spacing w:line="276" w:lineRule="auto"/>
              <w:ind w:left="75"/>
              <w:jc w:val="center"/>
              <w:rPr>
                <w:b/>
                <w:iCs w:val="0"/>
                <w:sz w:val="18"/>
                <w:szCs w:val="14"/>
                <w:lang w:val="fr-FR"/>
              </w:rPr>
            </w:pPr>
            <w:r w:rsidRPr="00F97146">
              <w:rPr>
                <w:iCs w:val="0"/>
                <w:sz w:val="18"/>
                <w:szCs w:val="14"/>
                <w:lang w:val="fr-FR"/>
              </w:rPr>
              <w:t>IVDR: 2</w:t>
            </w:r>
          </w:p>
        </w:tc>
        <w:tc>
          <w:tcPr>
            <w:tcW w:w="1134" w:type="dxa"/>
            <w:tcBorders>
              <w:top w:val="single" w:sz="4" w:space="0" w:color="auto"/>
              <w:left w:val="single" w:sz="4" w:space="0" w:color="auto"/>
              <w:bottom w:val="single" w:sz="4" w:space="0" w:color="auto"/>
              <w:right w:val="single" w:sz="4" w:space="0" w:color="auto"/>
            </w:tcBorders>
            <w:hideMark/>
          </w:tcPr>
          <w:p w14:paraId="3EBEA7FD" w14:textId="77777777" w:rsidR="00F26E61" w:rsidRPr="00F97146" w:rsidRDefault="00F26E61" w:rsidP="00407A8E">
            <w:pPr>
              <w:spacing w:line="276" w:lineRule="auto"/>
              <w:jc w:val="center"/>
              <w:rPr>
                <w:iCs w:val="0"/>
                <w:sz w:val="18"/>
                <w:szCs w:val="14"/>
                <w:lang w:val="en-US"/>
              </w:rPr>
            </w:pPr>
            <w:r w:rsidRPr="00F97146">
              <w:rPr>
                <w:iCs w:val="0"/>
                <w:sz w:val="18"/>
                <w:szCs w:val="14"/>
                <w:lang w:val="en-US"/>
              </w:rPr>
              <w:t>MDR: 46, 86, 87</w:t>
            </w:r>
          </w:p>
          <w:p w14:paraId="333F7CFD" w14:textId="77777777" w:rsidR="00F26E61" w:rsidRPr="00F97146" w:rsidRDefault="00F26E61" w:rsidP="00407A8E">
            <w:pPr>
              <w:spacing w:line="276" w:lineRule="auto"/>
              <w:jc w:val="center"/>
              <w:rPr>
                <w:b/>
                <w:iCs w:val="0"/>
                <w:sz w:val="18"/>
                <w:szCs w:val="14"/>
              </w:rPr>
            </w:pPr>
            <w:r w:rsidRPr="00F97146">
              <w:rPr>
                <w:iCs w:val="0"/>
                <w:sz w:val="18"/>
                <w:szCs w:val="14"/>
                <w:lang w:val="en-US"/>
              </w:rPr>
              <w:t xml:space="preserve">IVDR: 38, 39 </w:t>
            </w:r>
          </w:p>
        </w:tc>
        <w:tc>
          <w:tcPr>
            <w:tcW w:w="1134" w:type="dxa"/>
            <w:tcBorders>
              <w:top w:val="single" w:sz="4" w:space="0" w:color="auto"/>
              <w:left w:val="single" w:sz="4" w:space="0" w:color="auto"/>
              <w:bottom w:val="single" w:sz="4" w:space="0" w:color="auto"/>
              <w:right w:val="single" w:sz="4" w:space="0" w:color="auto"/>
            </w:tcBorders>
            <w:hideMark/>
          </w:tcPr>
          <w:p w14:paraId="25AAB4DA" w14:textId="77777777" w:rsidR="00F26E61" w:rsidRPr="00F97146" w:rsidRDefault="00F26E61" w:rsidP="00407A8E">
            <w:pPr>
              <w:spacing w:line="276" w:lineRule="auto"/>
              <w:ind w:left="14"/>
              <w:jc w:val="center"/>
              <w:rPr>
                <w:b/>
                <w:iCs w:val="0"/>
                <w:sz w:val="18"/>
                <w:szCs w:val="14"/>
              </w:rPr>
            </w:pPr>
          </w:p>
        </w:tc>
        <w:tc>
          <w:tcPr>
            <w:tcW w:w="4840" w:type="dxa"/>
            <w:tcBorders>
              <w:top w:val="single" w:sz="4" w:space="0" w:color="auto"/>
              <w:left w:val="single" w:sz="4" w:space="0" w:color="auto"/>
              <w:bottom w:val="single" w:sz="4" w:space="0" w:color="auto"/>
              <w:right w:val="single" w:sz="4" w:space="0" w:color="auto"/>
            </w:tcBorders>
          </w:tcPr>
          <w:p w14:paraId="20E8D8DA" w14:textId="77777777" w:rsidR="00F26E61" w:rsidRPr="00F97146" w:rsidRDefault="00F26E61" w:rsidP="00407A8E">
            <w:pPr>
              <w:spacing w:line="276" w:lineRule="auto"/>
              <w:rPr>
                <w:bCs/>
                <w:iCs w:val="0"/>
                <w:sz w:val="18"/>
                <w:szCs w:val="14"/>
              </w:rPr>
            </w:pPr>
          </w:p>
        </w:tc>
        <w:tc>
          <w:tcPr>
            <w:tcW w:w="5528" w:type="dxa"/>
            <w:tcBorders>
              <w:top w:val="single" w:sz="4" w:space="0" w:color="auto"/>
              <w:left w:val="single" w:sz="4" w:space="0" w:color="auto"/>
              <w:bottom w:val="single" w:sz="4" w:space="0" w:color="auto"/>
              <w:right w:val="single" w:sz="4" w:space="0" w:color="auto"/>
            </w:tcBorders>
          </w:tcPr>
          <w:p w14:paraId="1FD3EBE1" w14:textId="77777777" w:rsidR="00F26E61" w:rsidRPr="00F97146" w:rsidRDefault="00F26E61" w:rsidP="00407A8E">
            <w:pPr>
              <w:spacing w:line="276" w:lineRule="auto"/>
              <w:rPr>
                <w:bCs/>
                <w:iCs w:val="0"/>
                <w:sz w:val="18"/>
                <w:szCs w:val="14"/>
              </w:rPr>
            </w:pPr>
            <w:r w:rsidRPr="00F97146">
              <w:rPr>
                <w:bCs/>
                <w:iCs w:val="0"/>
                <w:sz w:val="18"/>
                <w:szCs w:val="14"/>
              </w:rPr>
              <w:t>Introduction of MDCO (Medical Device Coordination Group), serving as the administrative backbone of the system providing:</w:t>
            </w:r>
          </w:p>
          <w:p w14:paraId="200CD18F" w14:textId="77777777" w:rsidR="00F26E61" w:rsidRPr="00F97146" w:rsidRDefault="00F26E61" w:rsidP="00F26E61">
            <w:pPr>
              <w:pStyle w:val="Paragraphedeliste"/>
              <w:numPr>
                <w:ilvl w:val="0"/>
                <w:numId w:val="63"/>
              </w:numPr>
              <w:spacing w:after="0" w:line="276" w:lineRule="auto"/>
              <w:rPr>
                <w:bCs/>
                <w:iCs w:val="0"/>
                <w:sz w:val="18"/>
                <w:szCs w:val="14"/>
              </w:rPr>
            </w:pPr>
            <w:r w:rsidRPr="00F97146">
              <w:rPr>
                <w:bCs/>
                <w:iCs w:val="0"/>
                <w:sz w:val="18"/>
                <w:szCs w:val="14"/>
              </w:rPr>
              <w:t xml:space="preserve">Interaction of MDCO with Member States, Commission, NBCG-Med and EMA, functioning as central procedural interface: MS and Commission would maintain full responsibility for regulatory decisions; NBCG-Med provides NB coordination; EMA and Expert Panels retain scientific, </w:t>
            </w:r>
            <w:r w:rsidRPr="00F97146">
              <w:rPr>
                <w:bCs/>
                <w:iCs w:val="0"/>
                <w:sz w:val="18"/>
                <w:szCs w:val="14"/>
              </w:rPr>
              <w:lastRenderedPageBreak/>
              <w:t>methodological and clinical responsibilities; MDCG covers all non-scientific operational tasks and ensures coherence</w:t>
            </w:r>
          </w:p>
          <w:p w14:paraId="26D024FB" w14:textId="77777777" w:rsidR="00F26E61" w:rsidRPr="00F97146" w:rsidRDefault="00F26E61" w:rsidP="00407A8E">
            <w:pPr>
              <w:spacing w:line="276" w:lineRule="auto"/>
              <w:rPr>
                <w:sz w:val="18"/>
                <w:szCs w:val="14"/>
              </w:rPr>
            </w:pPr>
            <w:r w:rsidRPr="00F97146">
              <w:rPr>
                <w:bCs/>
                <w:iCs w:val="0"/>
                <w:sz w:val="18"/>
                <w:szCs w:val="14"/>
              </w:rPr>
              <w:t>Procedural (not scientific) coordination for Expert Panels through: dossier validation and completeness checks; scheduling and workflow management; Member State consultation coordination; independence and confidentiality safeguards; structured communication with NBs and national authorities</w:t>
            </w:r>
          </w:p>
        </w:tc>
      </w:tr>
      <w:tr w:rsidR="00F26E61" w:rsidRPr="00F97146" w14:paraId="15ED5ADF" w14:textId="77777777" w:rsidTr="0022597C">
        <w:tc>
          <w:tcPr>
            <w:tcW w:w="568" w:type="dxa"/>
          </w:tcPr>
          <w:p w14:paraId="76F3DA8B" w14:textId="77777777" w:rsidR="00F26E61" w:rsidRPr="00F97146" w:rsidRDefault="00F26E61" w:rsidP="00407A8E">
            <w:pPr>
              <w:spacing w:line="276" w:lineRule="auto"/>
              <w:ind w:left="-48" w:firstLine="6"/>
              <w:jc w:val="center"/>
              <w:rPr>
                <w:iCs w:val="0"/>
                <w:sz w:val="18"/>
                <w:szCs w:val="14"/>
                <w:lang w:val="en-US"/>
              </w:rPr>
            </w:pPr>
            <w:r w:rsidRPr="00F97146">
              <w:rPr>
                <w:iCs w:val="0"/>
                <w:sz w:val="18"/>
                <w:szCs w:val="14"/>
                <w:lang w:val="en-US"/>
              </w:rPr>
              <w:lastRenderedPageBreak/>
              <w:t>31</w:t>
            </w:r>
          </w:p>
        </w:tc>
        <w:tc>
          <w:tcPr>
            <w:tcW w:w="1134" w:type="dxa"/>
            <w:tcBorders>
              <w:top w:val="single" w:sz="4" w:space="0" w:color="auto"/>
              <w:left w:val="single" w:sz="4" w:space="0" w:color="auto"/>
              <w:bottom w:val="single" w:sz="4" w:space="0" w:color="auto"/>
              <w:right w:val="single" w:sz="4" w:space="0" w:color="auto"/>
            </w:tcBorders>
          </w:tcPr>
          <w:p w14:paraId="0413F8C4" w14:textId="77777777" w:rsidR="00F26E61" w:rsidRPr="00F97146" w:rsidRDefault="00F26E61" w:rsidP="00407A8E">
            <w:pPr>
              <w:spacing w:line="276" w:lineRule="auto"/>
              <w:ind w:left="-48" w:firstLine="6"/>
              <w:jc w:val="center"/>
              <w:rPr>
                <w:iCs w:val="0"/>
                <w:sz w:val="18"/>
                <w:szCs w:val="14"/>
                <w:lang w:val="en-US"/>
              </w:rPr>
            </w:pPr>
            <w:r w:rsidRPr="00F97146">
              <w:rPr>
                <w:iCs w:val="0"/>
                <w:sz w:val="18"/>
                <w:szCs w:val="14"/>
                <w:lang w:val="en-US"/>
              </w:rPr>
              <w:t>72, 114</w:t>
            </w:r>
          </w:p>
        </w:tc>
        <w:tc>
          <w:tcPr>
            <w:tcW w:w="1114" w:type="dxa"/>
            <w:tcBorders>
              <w:top w:val="single" w:sz="4" w:space="0" w:color="auto"/>
              <w:left w:val="single" w:sz="4" w:space="0" w:color="auto"/>
              <w:bottom w:val="single" w:sz="4" w:space="0" w:color="auto"/>
              <w:right w:val="single" w:sz="4" w:space="0" w:color="auto"/>
            </w:tcBorders>
          </w:tcPr>
          <w:p w14:paraId="0D3B2AD5" w14:textId="77777777" w:rsidR="00F26E61" w:rsidRPr="00F97146" w:rsidRDefault="00F26E61" w:rsidP="00407A8E">
            <w:pPr>
              <w:spacing w:line="276" w:lineRule="auto"/>
              <w:ind w:left="75"/>
              <w:jc w:val="center"/>
              <w:rPr>
                <w:iCs w:val="0"/>
                <w:sz w:val="18"/>
                <w:szCs w:val="14"/>
                <w:lang w:val="en-US"/>
              </w:rPr>
            </w:pPr>
            <w:r w:rsidRPr="00F97146">
              <w:rPr>
                <w:iCs w:val="0"/>
                <w:sz w:val="18"/>
                <w:szCs w:val="14"/>
                <w:lang w:val="en-US"/>
              </w:rPr>
              <w:t xml:space="preserve">MDR: </w:t>
            </w:r>
            <w:r w:rsidRPr="00F97146">
              <w:rPr>
                <w:iCs w:val="0"/>
                <w:sz w:val="18"/>
                <w:szCs w:val="14"/>
                <w:lang w:val="fr-FR"/>
              </w:rPr>
              <w:t>1</w:t>
            </w:r>
          </w:p>
          <w:p w14:paraId="31E6E6A0" w14:textId="77777777" w:rsidR="00F26E61" w:rsidRPr="00F97146" w:rsidRDefault="00F26E61" w:rsidP="00407A8E">
            <w:pPr>
              <w:spacing w:line="276" w:lineRule="auto"/>
              <w:ind w:left="75"/>
              <w:jc w:val="center"/>
              <w:rPr>
                <w:iCs w:val="0"/>
                <w:sz w:val="18"/>
                <w:szCs w:val="14"/>
                <w:lang w:val="fr-FR"/>
              </w:rPr>
            </w:pPr>
            <w:r w:rsidRPr="00F97146">
              <w:rPr>
                <w:iCs w:val="0"/>
                <w:sz w:val="18"/>
                <w:szCs w:val="14"/>
                <w:lang w:val="en-US"/>
              </w:rPr>
              <w:t xml:space="preserve">IVDR: </w:t>
            </w:r>
            <w:r w:rsidRPr="00F97146">
              <w:rPr>
                <w:iCs w:val="0"/>
                <w:sz w:val="18"/>
                <w:szCs w:val="14"/>
                <w:lang w:val="fr-FR"/>
              </w:rPr>
              <w:t>2</w:t>
            </w:r>
          </w:p>
        </w:tc>
        <w:tc>
          <w:tcPr>
            <w:tcW w:w="1134" w:type="dxa"/>
            <w:tcBorders>
              <w:top w:val="single" w:sz="4" w:space="0" w:color="auto"/>
              <w:left w:val="single" w:sz="4" w:space="0" w:color="auto"/>
              <w:bottom w:val="single" w:sz="4" w:space="0" w:color="auto"/>
              <w:right w:val="single" w:sz="4" w:space="0" w:color="auto"/>
            </w:tcBorders>
          </w:tcPr>
          <w:p w14:paraId="022A5947" w14:textId="77777777" w:rsidR="00F26E61" w:rsidRPr="00F97146" w:rsidRDefault="00F26E61" w:rsidP="00407A8E">
            <w:pPr>
              <w:spacing w:line="276" w:lineRule="auto"/>
              <w:jc w:val="center"/>
              <w:rPr>
                <w:iCs w:val="0"/>
                <w:sz w:val="18"/>
                <w:szCs w:val="14"/>
                <w:lang w:val="en-US"/>
              </w:rPr>
            </w:pPr>
            <w:r w:rsidRPr="00F97146">
              <w:rPr>
                <w:iCs w:val="0"/>
                <w:sz w:val="18"/>
                <w:szCs w:val="14"/>
                <w:lang w:val="en-US"/>
              </w:rPr>
              <w:t>MDR: 52</w:t>
            </w:r>
          </w:p>
          <w:p w14:paraId="2DAFA168" w14:textId="77777777" w:rsidR="00F26E61" w:rsidRPr="00F97146" w:rsidRDefault="00F26E61" w:rsidP="00407A8E">
            <w:pPr>
              <w:spacing w:line="276" w:lineRule="auto"/>
              <w:jc w:val="center"/>
              <w:rPr>
                <w:iCs w:val="0"/>
                <w:sz w:val="18"/>
                <w:szCs w:val="14"/>
                <w:lang w:val="en-US"/>
              </w:rPr>
            </w:pPr>
            <w:r w:rsidRPr="00F97146">
              <w:rPr>
                <w:iCs w:val="0"/>
                <w:sz w:val="18"/>
                <w:szCs w:val="14"/>
                <w:lang w:val="en-US"/>
              </w:rPr>
              <w:t>IVDR: 38</w:t>
            </w:r>
          </w:p>
        </w:tc>
        <w:tc>
          <w:tcPr>
            <w:tcW w:w="1134" w:type="dxa"/>
            <w:tcBorders>
              <w:top w:val="single" w:sz="4" w:space="0" w:color="auto"/>
              <w:left w:val="single" w:sz="4" w:space="0" w:color="auto"/>
              <w:bottom w:val="single" w:sz="4" w:space="0" w:color="auto"/>
              <w:right w:val="single" w:sz="4" w:space="0" w:color="auto"/>
            </w:tcBorders>
          </w:tcPr>
          <w:p w14:paraId="45CFD77E" w14:textId="77777777" w:rsidR="00F26E61" w:rsidRPr="00F97146" w:rsidRDefault="00F26E61" w:rsidP="00407A8E">
            <w:pPr>
              <w:spacing w:line="276" w:lineRule="auto"/>
              <w:ind w:left="14"/>
              <w:jc w:val="center"/>
              <w:rPr>
                <w:iCs w:val="0"/>
                <w:sz w:val="18"/>
                <w:szCs w:val="14"/>
                <w:lang w:val="en-US"/>
              </w:rPr>
            </w:pPr>
          </w:p>
        </w:tc>
        <w:tc>
          <w:tcPr>
            <w:tcW w:w="4840" w:type="dxa"/>
            <w:tcBorders>
              <w:top w:val="single" w:sz="4" w:space="0" w:color="auto"/>
              <w:left w:val="single" w:sz="4" w:space="0" w:color="auto"/>
              <w:bottom w:val="single" w:sz="4" w:space="0" w:color="auto"/>
              <w:right w:val="single" w:sz="4" w:space="0" w:color="auto"/>
            </w:tcBorders>
          </w:tcPr>
          <w:p w14:paraId="518ADCE8" w14:textId="77777777" w:rsidR="00F26E61" w:rsidRPr="00F97146" w:rsidRDefault="00F26E61" w:rsidP="00407A8E">
            <w:pPr>
              <w:spacing w:line="276" w:lineRule="auto"/>
              <w:rPr>
                <w:bCs/>
                <w:iCs w:val="0"/>
                <w:sz w:val="18"/>
                <w:szCs w:val="14"/>
              </w:rPr>
            </w:pPr>
            <w:r w:rsidRPr="00F97146">
              <w:rPr>
                <w:bCs/>
                <w:iCs w:val="0"/>
                <w:sz w:val="18"/>
                <w:szCs w:val="14"/>
              </w:rPr>
              <w:t>Under Art</w:t>
            </w:r>
            <w:r w:rsidRPr="00F97146">
              <w:rPr>
                <w:rFonts w:ascii="Arial" w:hAnsi="Arial" w:cs="Arial"/>
                <w:bCs/>
                <w:iCs w:val="0"/>
                <w:sz w:val="18"/>
                <w:szCs w:val="14"/>
              </w:rPr>
              <w:t> </w:t>
            </w:r>
            <w:r w:rsidRPr="00F97146">
              <w:rPr>
                <w:bCs/>
                <w:iCs w:val="0"/>
                <w:sz w:val="18"/>
                <w:szCs w:val="14"/>
              </w:rPr>
              <w:t>61(2) MDR, manufacturers of class IIb and III devices may seek early scientific advice on their clinical development strategy. Under Art</w:t>
            </w:r>
            <w:r w:rsidRPr="00F97146">
              <w:rPr>
                <w:rFonts w:ascii="Arial" w:hAnsi="Arial" w:cs="Arial"/>
                <w:bCs/>
                <w:iCs w:val="0"/>
                <w:sz w:val="18"/>
                <w:szCs w:val="14"/>
              </w:rPr>
              <w:t> </w:t>
            </w:r>
            <w:r w:rsidRPr="00F97146">
              <w:rPr>
                <w:bCs/>
                <w:iCs w:val="0"/>
                <w:sz w:val="18"/>
                <w:szCs w:val="14"/>
              </w:rPr>
              <w:t>56 IVDR, manufacturers of class C and D IVDs may seek similar advice on performance evaluation strategies.</w:t>
            </w:r>
          </w:p>
          <w:p w14:paraId="57498BD8" w14:textId="77777777" w:rsidR="00F26E61" w:rsidRPr="00F97146" w:rsidRDefault="00F26E61" w:rsidP="00407A8E">
            <w:pPr>
              <w:spacing w:line="276" w:lineRule="auto"/>
              <w:rPr>
                <w:bCs/>
                <w:iCs w:val="0"/>
                <w:sz w:val="18"/>
                <w:szCs w:val="14"/>
              </w:rPr>
            </w:pPr>
          </w:p>
          <w:p w14:paraId="3B86B5F6" w14:textId="77777777" w:rsidR="00F26E61" w:rsidRPr="00F97146" w:rsidRDefault="00F26E61" w:rsidP="00407A8E">
            <w:pPr>
              <w:spacing w:line="276" w:lineRule="auto"/>
              <w:rPr>
                <w:bCs/>
                <w:iCs w:val="0"/>
                <w:sz w:val="18"/>
                <w:szCs w:val="14"/>
              </w:rPr>
            </w:pPr>
            <w:r w:rsidRPr="00F97146">
              <w:rPr>
                <w:bCs/>
                <w:iCs w:val="0"/>
                <w:sz w:val="18"/>
                <w:szCs w:val="14"/>
              </w:rPr>
              <w:t>These advisory activities represent the role foreseen in Art</w:t>
            </w:r>
            <w:r w:rsidRPr="00F97146">
              <w:rPr>
                <w:rFonts w:ascii="Arial" w:hAnsi="Arial" w:cs="Arial"/>
                <w:bCs/>
                <w:iCs w:val="0"/>
                <w:sz w:val="18"/>
                <w:szCs w:val="14"/>
              </w:rPr>
              <w:t> </w:t>
            </w:r>
            <w:r w:rsidRPr="00F97146">
              <w:rPr>
                <w:bCs/>
                <w:iCs w:val="0"/>
                <w:sz w:val="18"/>
                <w:szCs w:val="14"/>
              </w:rPr>
              <w:t>106(1)(e) and 106(7)(a) and are distinct from the CECP/PECP procedures. Per Art</w:t>
            </w:r>
            <w:r w:rsidRPr="00F97146">
              <w:rPr>
                <w:rFonts w:ascii="Arial" w:hAnsi="Arial" w:cs="Arial"/>
                <w:bCs/>
                <w:iCs w:val="0"/>
                <w:sz w:val="18"/>
                <w:szCs w:val="14"/>
              </w:rPr>
              <w:t> </w:t>
            </w:r>
            <w:r w:rsidRPr="00F97146">
              <w:rPr>
                <w:bCs/>
                <w:iCs w:val="0"/>
                <w:sz w:val="18"/>
                <w:szCs w:val="14"/>
              </w:rPr>
              <w:t>106(6), NB experts participating in these advisory panels shall not be involved in CECP (Art</w:t>
            </w:r>
            <w:r w:rsidRPr="00F97146">
              <w:rPr>
                <w:rFonts w:ascii="Arial" w:hAnsi="Arial" w:cs="Arial"/>
                <w:bCs/>
                <w:iCs w:val="0"/>
                <w:sz w:val="18"/>
                <w:szCs w:val="14"/>
              </w:rPr>
              <w:t> </w:t>
            </w:r>
            <w:r w:rsidRPr="00F97146">
              <w:rPr>
                <w:bCs/>
                <w:iCs w:val="0"/>
                <w:sz w:val="18"/>
                <w:szCs w:val="14"/>
              </w:rPr>
              <w:t xml:space="preserve">54 MDR). </w:t>
            </w:r>
          </w:p>
        </w:tc>
        <w:tc>
          <w:tcPr>
            <w:tcW w:w="5528" w:type="dxa"/>
            <w:tcBorders>
              <w:top w:val="single" w:sz="4" w:space="0" w:color="auto"/>
              <w:left w:val="single" w:sz="4" w:space="0" w:color="auto"/>
              <w:bottom w:val="single" w:sz="4" w:space="0" w:color="auto"/>
              <w:right w:val="single" w:sz="4" w:space="0" w:color="auto"/>
            </w:tcBorders>
          </w:tcPr>
          <w:p w14:paraId="39FF65B3" w14:textId="77777777" w:rsidR="00F26E61" w:rsidRPr="00F97146" w:rsidRDefault="00F26E61" w:rsidP="00407A8E">
            <w:pPr>
              <w:spacing w:line="276" w:lineRule="auto"/>
              <w:rPr>
                <w:bCs/>
                <w:iCs w:val="0"/>
                <w:sz w:val="18"/>
                <w:szCs w:val="14"/>
              </w:rPr>
            </w:pPr>
          </w:p>
        </w:tc>
      </w:tr>
      <w:tr w:rsidR="00F26E61" w:rsidRPr="00F97146" w14:paraId="5E408296" w14:textId="77777777" w:rsidTr="0022597C">
        <w:tc>
          <w:tcPr>
            <w:tcW w:w="568" w:type="dxa"/>
          </w:tcPr>
          <w:p w14:paraId="4DC3E47E" w14:textId="77777777" w:rsidR="00F26E61" w:rsidRPr="00F97146" w:rsidRDefault="00F26E61" w:rsidP="00407A8E">
            <w:pPr>
              <w:spacing w:line="276" w:lineRule="auto"/>
              <w:ind w:left="-48" w:firstLine="6"/>
              <w:jc w:val="center"/>
              <w:rPr>
                <w:iCs w:val="0"/>
                <w:sz w:val="18"/>
                <w:szCs w:val="14"/>
                <w:lang w:val="en-US"/>
              </w:rPr>
            </w:pPr>
            <w:r w:rsidRPr="00F97146">
              <w:rPr>
                <w:iCs w:val="0"/>
                <w:sz w:val="18"/>
                <w:szCs w:val="14"/>
                <w:lang w:val="en-US"/>
              </w:rPr>
              <w:t>32</w:t>
            </w:r>
          </w:p>
        </w:tc>
        <w:tc>
          <w:tcPr>
            <w:tcW w:w="1134" w:type="dxa"/>
            <w:tcBorders>
              <w:top w:val="single" w:sz="4" w:space="0" w:color="auto"/>
              <w:left w:val="single" w:sz="4" w:space="0" w:color="auto"/>
              <w:bottom w:val="single" w:sz="4" w:space="0" w:color="auto"/>
              <w:right w:val="single" w:sz="4" w:space="0" w:color="auto"/>
            </w:tcBorders>
          </w:tcPr>
          <w:p w14:paraId="6F219A8D" w14:textId="77777777" w:rsidR="00F26E61" w:rsidRPr="00F97146" w:rsidRDefault="00F26E61" w:rsidP="00407A8E">
            <w:pPr>
              <w:spacing w:line="276" w:lineRule="auto"/>
              <w:ind w:left="-48" w:firstLine="6"/>
              <w:jc w:val="center"/>
              <w:rPr>
                <w:iCs w:val="0"/>
                <w:sz w:val="18"/>
                <w:szCs w:val="14"/>
                <w:lang w:val="en-US"/>
              </w:rPr>
            </w:pPr>
            <w:r w:rsidRPr="00F97146">
              <w:rPr>
                <w:iCs w:val="0"/>
                <w:sz w:val="18"/>
                <w:szCs w:val="14"/>
                <w:lang w:val="en-US"/>
              </w:rPr>
              <w:t>71 / 23</w:t>
            </w:r>
          </w:p>
        </w:tc>
        <w:tc>
          <w:tcPr>
            <w:tcW w:w="1114" w:type="dxa"/>
            <w:tcBorders>
              <w:top w:val="single" w:sz="4" w:space="0" w:color="auto"/>
              <w:left w:val="single" w:sz="4" w:space="0" w:color="auto"/>
              <w:bottom w:val="single" w:sz="4" w:space="0" w:color="auto"/>
              <w:right w:val="single" w:sz="4" w:space="0" w:color="auto"/>
            </w:tcBorders>
          </w:tcPr>
          <w:p w14:paraId="7732F8D3" w14:textId="77777777" w:rsidR="00F26E61" w:rsidRPr="00F97146" w:rsidRDefault="00F26E61" w:rsidP="00407A8E">
            <w:pPr>
              <w:spacing w:line="276" w:lineRule="auto"/>
              <w:ind w:left="75"/>
              <w:jc w:val="center"/>
              <w:rPr>
                <w:iCs w:val="0"/>
                <w:sz w:val="18"/>
                <w:szCs w:val="14"/>
                <w:lang w:val="en-US"/>
              </w:rPr>
            </w:pPr>
            <w:r w:rsidRPr="00F97146">
              <w:rPr>
                <w:iCs w:val="0"/>
                <w:sz w:val="18"/>
                <w:szCs w:val="14"/>
                <w:lang w:val="fr-FR"/>
              </w:rPr>
              <w:t>1 /</w:t>
            </w:r>
            <w:r w:rsidRPr="00F97146">
              <w:rPr>
                <w:iCs w:val="0"/>
                <w:sz w:val="18"/>
                <w:szCs w:val="14"/>
                <w:lang w:val="en-US"/>
              </w:rPr>
              <w:t xml:space="preserve"> Ann I</w:t>
            </w:r>
          </w:p>
        </w:tc>
        <w:tc>
          <w:tcPr>
            <w:tcW w:w="1134" w:type="dxa"/>
            <w:tcBorders>
              <w:top w:val="single" w:sz="4" w:space="0" w:color="auto"/>
              <w:left w:val="single" w:sz="4" w:space="0" w:color="auto"/>
              <w:bottom w:val="single" w:sz="4" w:space="0" w:color="auto"/>
              <w:right w:val="single" w:sz="4" w:space="0" w:color="auto"/>
            </w:tcBorders>
          </w:tcPr>
          <w:p w14:paraId="79809C2D" w14:textId="77777777" w:rsidR="00F26E61" w:rsidRPr="00F97146" w:rsidRDefault="00F26E61" w:rsidP="00407A8E">
            <w:pPr>
              <w:spacing w:line="276" w:lineRule="auto"/>
              <w:jc w:val="center"/>
              <w:rPr>
                <w:iCs w:val="0"/>
                <w:sz w:val="18"/>
                <w:szCs w:val="14"/>
                <w:lang w:val="fr-BE"/>
              </w:rPr>
            </w:pPr>
            <w:r w:rsidRPr="00F97146">
              <w:rPr>
                <w:iCs w:val="0"/>
                <w:sz w:val="18"/>
                <w:szCs w:val="14"/>
                <w:lang w:val="fr-BE"/>
              </w:rPr>
              <w:t>52 / 12</w:t>
            </w:r>
          </w:p>
          <w:p w14:paraId="55F46F58" w14:textId="77777777" w:rsidR="00F26E61" w:rsidRPr="00F97146" w:rsidRDefault="00F26E61" w:rsidP="00407A8E">
            <w:pPr>
              <w:spacing w:line="276" w:lineRule="auto"/>
              <w:jc w:val="center"/>
              <w:rPr>
                <w:iCs w:val="0"/>
                <w:sz w:val="18"/>
                <w:szCs w:val="14"/>
                <w:lang w:val="fr-BE"/>
              </w:rPr>
            </w:pPr>
          </w:p>
          <w:p w14:paraId="1D606CB2" w14:textId="77777777" w:rsidR="00F26E61" w:rsidRPr="00F97146" w:rsidRDefault="00F26E61" w:rsidP="00407A8E">
            <w:pPr>
              <w:spacing w:line="276" w:lineRule="auto"/>
              <w:jc w:val="center"/>
              <w:rPr>
                <w:iCs w:val="0"/>
                <w:sz w:val="18"/>
                <w:szCs w:val="14"/>
                <w:lang w:val="en-US"/>
              </w:rPr>
            </w:pPr>
          </w:p>
        </w:tc>
        <w:tc>
          <w:tcPr>
            <w:tcW w:w="1134" w:type="dxa"/>
            <w:tcBorders>
              <w:top w:val="single" w:sz="4" w:space="0" w:color="auto"/>
              <w:left w:val="single" w:sz="4" w:space="0" w:color="auto"/>
              <w:bottom w:val="single" w:sz="4" w:space="0" w:color="auto"/>
              <w:right w:val="single" w:sz="4" w:space="0" w:color="auto"/>
            </w:tcBorders>
          </w:tcPr>
          <w:p w14:paraId="1736A775" w14:textId="77777777" w:rsidR="00F26E61" w:rsidRPr="00F97146" w:rsidRDefault="00F26E61" w:rsidP="00407A8E">
            <w:pPr>
              <w:spacing w:line="276" w:lineRule="auto"/>
              <w:ind w:left="14"/>
              <w:jc w:val="center"/>
              <w:rPr>
                <w:iCs w:val="0"/>
                <w:sz w:val="18"/>
                <w:szCs w:val="14"/>
                <w:lang w:val="en-US"/>
              </w:rPr>
            </w:pPr>
            <w:r w:rsidRPr="00F97146">
              <w:rPr>
                <w:iCs w:val="0"/>
                <w:sz w:val="18"/>
                <w:szCs w:val="14"/>
                <w:lang w:val="en-US"/>
              </w:rPr>
              <w:t>52b / 12b</w:t>
            </w:r>
          </w:p>
        </w:tc>
        <w:tc>
          <w:tcPr>
            <w:tcW w:w="4840" w:type="dxa"/>
            <w:tcBorders>
              <w:top w:val="single" w:sz="4" w:space="0" w:color="auto"/>
              <w:left w:val="single" w:sz="4" w:space="0" w:color="auto"/>
              <w:bottom w:val="single" w:sz="4" w:space="0" w:color="auto"/>
              <w:right w:val="single" w:sz="4" w:space="0" w:color="auto"/>
            </w:tcBorders>
          </w:tcPr>
          <w:p w14:paraId="26C2EF39" w14:textId="77777777" w:rsidR="00F26E61" w:rsidRPr="00F97146" w:rsidRDefault="00F26E61" w:rsidP="00407A8E">
            <w:pPr>
              <w:spacing w:line="276" w:lineRule="auto"/>
              <w:ind w:left="39"/>
              <w:rPr>
                <w:iCs w:val="0"/>
                <w:sz w:val="18"/>
                <w:szCs w:val="14"/>
              </w:rPr>
            </w:pPr>
            <w:r w:rsidRPr="00F97146">
              <w:rPr>
                <w:iCs w:val="0"/>
                <w:sz w:val="18"/>
                <w:szCs w:val="14"/>
              </w:rPr>
              <w:t>The proposal to broaden the criteria for demonstration of clinical and biological equivalence by allowing for the use or “same or similar materials” and “same or similar clinical condition” raises concerns.</w:t>
            </w:r>
          </w:p>
          <w:p w14:paraId="1F602EA2" w14:textId="77777777" w:rsidR="00F26E61" w:rsidRPr="00F97146" w:rsidRDefault="00F26E61" w:rsidP="00407A8E">
            <w:pPr>
              <w:spacing w:line="276" w:lineRule="auto"/>
              <w:ind w:left="39"/>
              <w:rPr>
                <w:iCs w:val="0"/>
                <w:sz w:val="18"/>
                <w:szCs w:val="14"/>
              </w:rPr>
            </w:pPr>
          </w:p>
          <w:p w14:paraId="47E9B6EC" w14:textId="77777777" w:rsidR="00F26E61" w:rsidRPr="00F97146" w:rsidRDefault="00F26E61" w:rsidP="00F26E61">
            <w:pPr>
              <w:pStyle w:val="Paragraphedeliste"/>
              <w:numPr>
                <w:ilvl w:val="0"/>
                <w:numId w:val="85"/>
              </w:numPr>
              <w:spacing w:after="0" w:line="276" w:lineRule="auto"/>
              <w:rPr>
                <w:iCs w:val="0"/>
                <w:sz w:val="18"/>
                <w:szCs w:val="14"/>
              </w:rPr>
            </w:pPr>
            <w:r w:rsidRPr="00F97146">
              <w:rPr>
                <w:iCs w:val="0"/>
                <w:sz w:val="18"/>
                <w:szCs w:val="14"/>
              </w:rPr>
              <w:t>Clinical Equivalence:</w:t>
            </w:r>
          </w:p>
          <w:p w14:paraId="6C1B4CCE" w14:textId="77777777" w:rsidR="00F26E61" w:rsidRPr="00F97146" w:rsidRDefault="00F26E61" w:rsidP="00F26E61">
            <w:pPr>
              <w:pStyle w:val="Paragraphedeliste"/>
              <w:numPr>
                <w:ilvl w:val="0"/>
                <w:numId w:val="86"/>
              </w:numPr>
              <w:spacing w:after="0" w:line="276" w:lineRule="auto"/>
              <w:rPr>
                <w:iCs w:val="0"/>
                <w:sz w:val="18"/>
                <w:szCs w:val="14"/>
              </w:rPr>
            </w:pPr>
            <w:r w:rsidRPr="00F97146">
              <w:rPr>
                <w:iCs w:val="0"/>
                <w:sz w:val="18"/>
                <w:szCs w:val="14"/>
              </w:rPr>
              <w:t xml:space="preserve">Broadening of the criteria allows for certain clinical conditions to be considered as “similar” based solely on underlying pathology, even when the actual clinical management or expected patient </w:t>
            </w:r>
            <w:r w:rsidRPr="00F97146">
              <w:rPr>
                <w:iCs w:val="0"/>
                <w:sz w:val="18"/>
                <w:szCs w:val="14"/>
              </w:rPr>
              <w:lastRenderedPageBreak/>
              <w:t>outcomes differ substantially. It may be claimed that certain clinical conditions are “similar” without a unifying underlying pathology but instead based on some other unvalidated measure (e.g., patient symptoms).</w:t>
            </w:r>
          </w:p>
          <w:p w14:paraId="6E5E6934" w14:textId="77777777" w:rsidR="00F26E61" w:rsidRPr="00F97146" w:rsidRDefault="00F26E61" w:rsidP="00F26E61">
            <w:pPr>
              <w:pStyle w:val="Paragraphedeliste"/>
              <w:numPr>
                <w:ilvl w:val="0"/>
                <w:numId w:val="86"/>
              </w:numPr>
              <w:spacing w:after="0" w:line="276" w:lineRule="auto"/>
              <w:rPr>
                <w:iCs w:val="0"/>
                <w:sz w:val="18"/>
                <w:szCs w:val="14"/>
              </w:rPr>
            </w:pPr>
            <w:r w:rsidRPr="00F97146">
              <w:rPr>
                <w:iCs w:val="0"/>
                <w:sz w:val="18"/>
                <w:szCs w:val="14"/>
              </w:rPr>
              <w:t>A clear example can be seen in atherosclerosis. Although the physiological process of plaque formation in peripheral arteries and in coronary arteries may be broadly similar, the clinical implications and treatment strategies differ markedly. For instance, drug</w:t>
            </w:r>
            <w:r w:rsidRPr="00F97146">
              <w:rPr>
                <w:iCs w:val="0"/>
                <w:sz w:val="18"/>
                <w:szCs w:val="14"/>
              </w:rPr>
              <w:noBreakHyphen/>
              <w:t>eluting stents offer established and substantial clinical benefit in the treatment of coronary artery disease. In contrast, the same intervention provides minimal benefit and increases risk substantially for patients with flow</w:t>
            </w:r>
            <w:r w:rsidRPr="00F97146">
              <w:rPr>
                <w:iCs w:val="0"/>
                <w:sz w:val="18"/>
                <w:szCs w:val="14"/>
              </w:rPr>
              <w:noBreakHyphen/>
              <w:t>limiting plaque in the lower limb. This demonstrates that, despite similarities in pathology, clinical condition and associated therapeutic value cannot be considered equivalent.</w:t>
            </w:r>
          </w:p>
          <w:p w14:paraId="36F6DF29" w14:textId="77777777" w:rsidR="00F26E61" w:rsidRPr="00F97146" w:rsidRDefault="00F26E61" w:rsidP="00F26E61">
            <w:pPr>
              <w:pStyle w:val="Paragraphedeliste"/>
              <w:numPr>
                <w:ilvl w:val="0"/>
                <w:numId w:val="86"/>
              </w:numPr>
              <w:spacing w:after="0" w:line="276" w:lineRule="auto"/>
              <w:rPr>
                <w:iCs w:val="0"/>
                <w:sz w:val="18"/>
                <w:szCs w:val="14"/>
              </w:rPr>
            </w:pPr>
            <w:r w:rsidRPr="00F97146">
              <w:rPr>
                <w:iCs w:val="0"/>
                <w:sz w:val="18"/>
                <w:szCs w:val="14"/>
              </w:rPr>
              <w:t>Under the MDD, the requirement to demonstrate clinical equivalence relied on use of the device for the same clinical condition and intended purpose. By amending the criteria to allow for use of “similar” clinical condition, the requirements fall below MDD requirements, which is contrary to the underlying founding principles of the MDR to enhance patient safety. It is further noted that reliance on the criterion of ’similar clinical conditions’ is not permitted by other global regulatory agencies, for example the FDA, and may lead to lack of recognition of CE-marked devices based on equivalence for entry to certain global markets.</w:t>
            </w:r>
          </w:p>
          <w:p w14:paraId="37DBF7B2" w14:textId="77777777" w:rsidR="00F26E61" w:rsidRPr="00F97146" w:rsidRDefault="00F26E61" w:rsidP="00407A8E">
            <w:pPr>
              <w:spacing w:line="276" w:lineRule="auto"/>
              <w:ind w:left="39"/>
              <w:rPr>
                <w:iCs w:val="0"/>
                <w:sz w:val="18"/>
                <w:szCs w:val="14"/>
              </w:rPr>
            </w:pPr>
          </w:p>
          <w:p w14:paraId="0CBA2C4D" w14:textId="77777777" w:rsidR="00F26E61" w:rsidRPr="00F97146" w:rsidRDefault="00F26E61" w:rsidP="00F26E61">
            <w:pPr>
              <w:pStyle w:val="Paragraphedeliste"/>
              <w:numPr>
                <w:ilvl w:val="0"/>
                <w:numId w:val="85"/>
              </w:numPr>
              <w:spacing w:after="0" w:line="276" w:lineRule="auto"/>
              <w:rPr>
                <w:iCs w:val="0"/>
                <w:sz w:val="18"/>
                <w:szCs w:val="14"/>
              </w:rPr>
            </w:pPr>
            <w:r w:rsidRPr="00F97146">
              <w:rPr>
                <w:iCs w:val="0"/>
                <w:sz w:val="18"/>
                <w:szCs w:val="14"/>
              </w:rPr>
              <w:t>Biological Equivalence:</w:t>
            </w:r>
          </w:p>
          <w:p w14:paraId="5D424822" w14:textId="77777777" w:rsidR="00F26E61" w:rsidRPr="00F97146" w:rsidRDefault="00F26E61" w:rsidP="00407A8E">
            <w:pPr>
              <w:spacing w:line="276" w:lineRule="auto"/>
              <w:ind w:left="39"/>
              <w:rPr>
                <w:iCs w:val="0"/>
                <w:sz w:val="18"/>
                <w:szCs w:val="14"/>
              </w:rPr>
            </w:pPr>
            <w:r w:rsidRPr="00F97146">
              <w:rPr>
                <w:iCs w:val="0"/>
                <w:sz w:val="18"/>
                <w:szCs w:val="14"/>
              </w:rPr>
              <w:t>Introduction of ‘similar’ materials is welcomed as it provides greater flexibility and pragmatism for acceptance of certain material differences based on scientific evidence and appropriate justifications. For example:</w:t>
            </w:r>
          </w:p>
          <w:p w14:paraId="52D6291A" w14:textId="77777777" w:rsidR="00F26E61" w:rsidRPr="00F97146" w:rsidRDefault="00F26E61" w:rsidP="00F26E61">
            <w:pPr>
              <w:numPr>
                <w:ilvl w:val="0"/>
                <w:numId w:val="87"/>
              </w:numPr>
              <w:spacing w:after="0" w:line="276" w:lineRule="auto"/>
              <w:rPr>
                <w:iCs w:val="0"/>
                <w:sz w:val="18"/>
                <w:szCs w:val="14"/>
              </w:rPr>
            </w:pPr>
            <w:r w:rsidRPr="00F97146">
              <w:rPr>
                <w:iCs w:val="0"/>
                <w:sz w:val="18"/>
                <w:szCs w:val="14"/>
              </w:rPr>
              <w:t>Low-risk, non-contacting devices</w:t>
            </w:r>
          </w:p>
          <w:p w14:paraId="7CF3A1BC" w14:textId="77777777" w:rsidR="00F26E61" w:rsidRPr="00F97146" w:rsidRDefault="00F26E61" w:rsidP="00F26E61">
            <w:pPr>
              <w:numPr>
                <w:ilvl w:val="0"/>
                <w:numId w:val="87"/>
              </w:numPr>
              <w:spacing w:after="0" w:line="276" w:lineRule="auto"/>
              <w:rPr>
                <w:iCs w:val="0"/>
                <w:sz w:val="18"/>
                <w:szCs w:val="14"/>
              </w:rPr>
            </w:pPr>
            <w:r w:rsidRPr="00F97146">
              <w:rPr>
                <w:iCs w:val="0"/>
                <w:sz w:val="18"/>
                <w:szCs w:val="14"/>
              </w:rPr>
              <w:t>Introduction of minor material changes to a device with an established history of safety and performance</w:t>
            </w:r>
          </w:p>
          <w:p w14:paraId="29909A97" w14:textId="77777777" w:rsidR="00F26E61" w:rsidRPr="00F97146" w:rsidRDefault="00F26E61" w:rsidP="00F26E61">
            <w:pPr>
              <w:numPr>
                <w:ilvl w:val="0"/>
                <w:numId w:val="87"/>
              </w:numPr>
              <w:spacing w:after="0" w:line="276" w:lineRule="auto"/>
              <w:rPr>
                <w:iCs w:val="0"/>
                <w:sz w:val="18"/>
                <w:szCs w:val="14"/>
              </w:rPr>
            </w:pPr>
            <w:r w:rsidRPr="00F97146">
              <w:rPr>
                <w:iCs w:val="0"/>
                <w:sz w:val="18"/>
                <w:szCs w:val="14"/>
              </w:rPr>
              <w:t>Modification of a device because of material supply issues</w:t>
            </w:r>
          </w:p>
          <w:p w14:paraId="2B875EE9" w14:textId="77777777" w:rsidR="00F26E61" w:rsidRPr="00F97146" w:rsidRDefault="00F26E61" w:rsidP="00407A8E">
            <w:pPr>
              <w:spacing w:line="276" w:lineRule="auto"/>
              <w:ind w:left="39"/>
              <w:rPr>
                <w:iCs w:val="0"/>
                <w:sz w:val="18"/>
                <w:szCs w:val="14"/>
              </w:rPr>
            </w:pPr>
          </w:p>
          <w:p w14:paraId="0350D223" w14:textId="77777777" w:rsidR="00F26E61" w:rsidRPr="00F97146" w:rsidRDefault="00F26E61" w:rsidP="00407A8E">
            <w:pPr>
              <w:spacing w:line="276" w:lineRule="auto"/>
              <w:rPr>
                <w:iCs w:val="0"/>
                <w:sz w:val="18"/>
                <w:szCs w:val="14"/>
              </w:rPr>
            </w:pPr>
            <w:r w:rsidRPr="00F97146">
              <w:rPr>
                <w:iCs w:val="0"/>
                <w:sz w:val="18"/>
                <w:szCs w:val="14"/>
              </w:rPr>
              <w:t>Caution is advised regarding the interpretation of ‘similar’ particularly in the case of implantable devices and substance-based devices, as diverging opinions amongst and between NBs and manufacturers may arise – for example, differences in grade of titanium vs differences in formulations and proportions of non-active ingredients. It is important to emphasise that use of similar materials may lead to the introduction of unforeseeable mid-long-term risks to the patient</w:t>
            </w:r>
          </w:p>
          <w:p w14:paraId="4E9A32C0" w14:textId="77777777" w:rsidR="00F26E61" w:rsidRPr="00F97146" w:rsidRDefault="00F26E61" w:rsidP="00407A8E">
            <w:pPr>
              <w:spacing w:line="276" w:lineRule="auto"/>
              <w:rPr>
                <w:iCs w:val="0"/>
                <w:sz w:val="18"/>
                <w:szCs w:val="14"/>
              </w:rPr>
            </w:pPr>
          </w:p>
          <w:p w14:paraId="0C99C5C6" w14:textId="77777777" w:rsidR="00F26E61" w:rsidRPr="00F97146" w:rsidRDefault="00F26E61" w:rsidP="00407A8E">
            <w:pPr>
              <w:spacing w:line="276" w:lineRule="auto"/>
              <w:ind w:left="39"/>
              <w:rPr>
                <w:iCs w:val="0"/>
                <w:sz w:val="18"/>
                <w:szCs w:val="14"/>
              </w:rPr>
            </w:pPr>
            <w:r w:rsidRPr="00F97146">
              <w:rPr>
                <w:iCs w:val="0"/>
                <w:sz w:val="18"/>
                <w:szCs w:val="14"/>
              </w:rPr>
              <w:t>Supporting guidance from the Commission will therefore be essential to ensure consistent, pragmatic, and patient</w:t>
            </w:r>
            <w:r w:rsidRPr="00F97146">
              <w:rPr>
                <w:iCs w:val="0"/>
                <w:sz w:val="18"/>
                <w:szCs w:val="14"/>
              </w:rPr>
              <w:noBreakHyphen/>
              <w:t>safe decision</w:t>
            </w:r>
            <w:r w:rsidRPr="00F97146">
              <w:rPr>
                <w:iCs w:val="0"/>
                <w:sz w:val="18"/>
                <w:szCs w:val="14"/>
              </w:rPr>
              <w:noBreakHyphen/>
              <w:t>making.</w:t>
            </w:r>
          </w:p>
          <w:p w14:paraId="0244F521" w14:textId="77777777" w:rsidR="00F26E61" w:rsidRPr="00F97146" w:rsidRDefault="00F26E61" w:rsidP="00407A8E">
            <w:pPr>
              <w:spacing w:line="276" w:lineRule="auto"/>
              <w:ind w:left="39"/>
              <w:rPr>
                <w:iCs w:val="0"/>
                <w:sz w:val="18"/>
                <w:szCs w:val="14"/>
              </w:rPr>
            </w:pPr>
          </w:p>
          <w:p w14:paraId="2A7CAF4F" w14:textId="77777777" w:rsidR="00F26E61" w:rsidRPr="00F97146" w:rsidRDefault="00F26E61" w:rsidP="00407A8E">
            <w:pPr>
              <w:spacing w:line="276" w:lineRule="auto"/>
              <w:ind w:left="39"/>
              <w:rPr>
                <w:iCs w:val="0"/>
                <w:sz w:val="18"/>
                <w:szCs w:val="14"/>
              </w:rPr>
            </w:pPr>
          </w:p>
          <w:p w14:paraId="0C5E25A6" w14:textId="77777777" w:rsidR="00F26E61" w:rsidRPr="00F97146" w:rsidRDefault="00F26E61" w:rsidP="00F26E61">
            <w:pPr>
              <w:pStyle w:val="Paragraphedeliste"/>
              <w:numPr>
                <w:ilvl w:val="0"/>
                <w:numId w:val="85"/>
              </w:numPr>
              <w:spacing w:after="0" w:line="276" w:lineRule="auto"/>
              <w:rPr>
                <w:iCs w:val="0"/>
                <w:sz w:val="18"/>
                <w:szCs w:val="14"/>
              </w:rPr>
            </w:pPr>
            <w:r w:rsidRPr="00F97146">
              <w:rPr>
                <w:iCs w:val="0"/>
                <w:sz w:val="18"/>
                <w:szCs w:val="14"/>
              </w:rPr>
              <w:t>Recertification:</w:t>
            </w:r>
          </w:p>
          <w:p w14:paraId="12D70169" w14:textId="77777777" w:rsidR="00F26E61" w:rsidRPr="00F97146" w:rsidRDefault="00F26E61" w:rsidP="00407A8E">
            <w:pPr>
              <w:spacing w:line="276" w:lineRule="auto"/>
              <w:ind w:left="39"/>
              <w:rPr>
                <w:iCs w:val="0"/>
                <w:sz w:val="18"/>
                <w:szCs w:val="14"/>
              </w:rPr>
            </w:pPr>
            <w:r w:rsidRPr="00F97146">
              <w:rPr>
                <w:iCs w:val="0"/>
                <w:sz w:val="18"/>
                <w:szCs w:val="14"/>
              </w:rPr>
              <w:t>In cases whereby initial CE marking was based on equivalence, recertification is a point in time when NBs have the best opportunity to review the clinical data generated for the subject device and in accordance with the manufacturer’s approved PMCF plan. The proposed changes to recertification remove the opportunity to perform a detailed review of the subject device’s PMCF data. This further reinforces the need for equivalence claims to be based on a solid, evidence-based rationale and justification that adequately informs the consideration of long-term safety and performance.</w:t>
            </w:r>
          </w:p>
          <w:p w14:paraId="5D5DE425" w14:textId="77777777" w:rsidR="00F26E61" w:rsidRPr="00F97146" w:rsidRDefault="00F26E61" w:rsidP="00407A8E">
            <w:pPr>
              <w:spacing w:line="276" w:lineRule="auto"/>
              <w:ind w:left="39"/>
              <w:rPr>
                <w:iCs w:val="0"/>
                <w:sz w:val="18"/>
                <w:szCs w:val="14"/>
              </w:rPr>
            </w:pPr>
          </w:p>
          <w:p w14:paraId="760658D2" w14:textId="77777777" w:rsidR="00F26E61" w:rsidRPr="00F97146" w:rsidRDefault="00F26E61" w:rsidP="00F26E61">
            <w:pPr>
              <w:pStyle w:val="Paragraphedeliste"/>
              <w:numPr>
                <w:ilvl w:val="0"/>
                <w:numId w:val="85"/>
              </w:numPr>
              <w:spacing w:after="0" w:line="276" w:lineRule="auto"/>
              <w:rPr>
                <w:iCs w:val="0"/>
                <w:sz w:val="18"/>
                <w:szCs w:val="14"/>
                <w:lang w:val="en-US"/>
              </w:rPr>
            </w:pPr>
            <w:r w:rsidRPr="00F97146">
              <w:rPr>
                <w:iCs w:val="0"/>
                <w:sz w:val="18"/>
                <w:szCs w:val="14"/>
              </w:rPr>
              <w:t>Inconsistent Interpretation of ‘Similar’:</w:t>
            </w:r>
          </w:p>
          <w:p w14:paraId="6C8A7A61" w14:textId="77777777" w:rsidR="00F26E61" w:rsidRPr="00F97146" w:rsidRDefault="00F26E61" w:rsidP="00407A8E">
            <w:pPr>
              <w:spacing w:line="276" w:lineRule="auto"/>
              <w:ind w:left="39"/>
              <w:rPr>
                <w:iCs w:val="0"/>
                <w:sz w:val="18"/>
                <w:szCs w:val="14"/>
                <w:lang w:val="en-US"/>
              </w:rPr>
            </w:pPr>
            <w:r w:rsidRPr="00F97146">
              <w:rPr>
                <w:iCs w:val="0"/>
                <w:sz w:val="18"/>
                <w:szCs w:val="14"/>
              </w:rPr>
              <w:t xml:space="preserve">The proposed change will result in all three equivalence criteria–technical, biological, and clinical–to require only ‘similar’ characteristics. </w:t>
            </w:r>
            <w:r w:rsidRPr="00F97146">
              <w:rPr>
                <w:iCs w:val="0"/>
                <w:sz w:val="18"/>
                <w:szCs w:val="14"/>
                <w:lang w:val="en-US"/>
              </w:rPr>
              <w:t>‘Similarity’ is a subjective concept, and manufacturers as well as NBs are highly likely to interpret it differently. Inconsistent interpretation and acceptance of what is considered ‘similar’ could potentially lead to devices with substantially different safety profiles reaching the market with inadequate regulatory scrutiny.</w:t>
            </w:r>
          </w:p>
          <w:p w14:paraId="1785D274" w14:textId="77777777" w:rsidR="00F26E61" w:rsidRPr="00F97146" w:rsidRDefault="00F26E61" w:rsidP="00407A8E">
            <w:pPr>
              <w:spacing w:line="276" w:lineRule="auto"/>
              <w:ind w:left="39"/>
              <w:rPr>
                <w:iCs w:val="0"/>
                <w:sz w:val="18"/>
                <w:szCs w:val="14"/>
                <w:lang w:val="en-US"/>
              </w:rPr>
            </w:pPr>
            <w:r w:rsidRPr="00F97146">
              <w:rPr>
                <w:iCs w:val="0"/>
                <w:sz w:val="18"/>
                <w:szCs w:val="14"/>
                <w:lang w:val="en-US"/>
              </w:rPr>
              <w:t xml:space="preserve">Additionally, the purpose of equivalence is to demonstrate safety and performance of a device based on another device’s clinical data (i.e., the data is equally relevant to both devices as they are essentially the same device). If a device is compared to another device with similar technical, biological and clinical characteristics–i.e., where none of </w:t>
            </w:r>
            <w:r w:rsidRPr="00F97146">
              <w:rPr>
                <w:iCs w:val="0"/>
                <w:sz w:val="18"/>
                <w:szCs w:val="14"/>
                <w:lang w:val="en-US"/>
              </w:rPr>
              <w:lastRenderedPageBreak/>
              <w:t>these three aspects are the same–it brings into question how the claimed equivalent device’s data can be considered to accurately reflect the safety and performance of the device under evaluation. It can be argued that such an approach could annul the validity and robustness of the equivalence claim.</w:t>
            </w:r>
          </w:p>
        </w:tc>
        <w:tc>
          <w:tcPr>
            <w:tcW w:w="5528" w:type="dxa"/>
            <w:tcBorders>
              <w:top w:val="single" w:sz="4" w:space="0" w:color="auto"/>
              <w:left w:val="single" w:sz="4" w:space="0" w:color="auto"/>
              <w:bottom w:val="single" w:sz="4" w:space="0" w:color="auto"/>
              <w:right w:val="single" w:sz="4" w:space="0" w:color="auto"/>
            </w:tcBorders>
          </w:tcPr>
          <w:p w14:paraId="03E75F52" w14:textId="77777777" w:rsidR="00F26E61" w:rsidRPr="00F97146" w:rsidRDefault="00F26E61" w:rsidP="00F26E61">
            <w:pPr>
              <w:numPr>
                <w:ilvl w:val="0"/>
                <w:numId w:val="64"/>
              </w:numPr>
              <w:spacing w:after="0" w:line="276" w:lineRule="auto"/>
              <w:ind w:left="25"/>
              <w:rPr>
                <w:iCs w:val="0"/>
                <w:sz w:val="18"/>
                <w:szCs w:val="14"/>
                <w:lang w:val="en-US"/>
              </w:rPr>
            </w:pPr>
            <w:r w:rsidRPr="00F97146">
              <w:rPr>
                <w:iCs w:val="0"/>
                <w:sz w:val="18"/>
                <w:szCs w:val="14"/>
                <w:lang w:val="en-US"/>
              </w:rPr>
              <w:lastRenderedPageBreak/>
              <w:t>Reinstate the current wording of clinical characteristics specified by Annex XIV Part A (3).</w:t>
            </w:r>
          </w:p>
        </w:tc>
      </w:tr>
      <w:tr w:rsidR="00F26E61" w:rsidRPr="00F97146" w14:paraId="6A1160D5" w14:textId="77777777" w:rsidTr="0022597C">
        <w:tc>
          <w:tcPr>
            <w:tcW w:w="568" w:type="dxa"/>
          </w:tcPr>
          <w:p w14:paraId="6BDE9E5D" w14:textId="77777777" w:rsidR="00F26E61" w:rsidRPr="00F97146" w:rsidRDefault="00F26E61" w:rsidP="00407A8E">
            <w:pPr>
              <w:spacing w:line="276" w:lineRule="auto"/>
              <w:ind w:left="-48" w:firstLine="6"/>
              <w:jc w:val="center"/>
              <w:rPr>
                <w:iCs w:val="0"/>
                <w:sz w:val="18"/>
                <w:szCs w:val="14"/>
                <w:lang w:val="en-US"/>
              </w:rPr>
            </w:pPr>
            <w:r w:rsidRPr="00F97146">
              <w:rPr>
                <w:iCs w:val="0"/>
                <w:sz w:val="18"/>
                <w:szCs w:val="14"/>
                <w:lang w:val="en-US"/>
              </w:rPr>
              <w:lastRenderedPageBreak/>
              <w:t>33</w:t>
            </w:r>
          </w:p>
        </w:tc>
        <w:tc>
          <w:tcPr>
            <w:tcW w:w="1134" w:type="dxa"/>
            <w:tcBorders>
              <w:top w:val="single" w:sz="4" w:space="0" w:color="auto"/>
              <w:left w:val="single" w:sz="4" w:space="0" w:color="auto"/>
              <w:bottom w:val="single" w:sz="4" w:space="0" w:color="auto"/>
              <w:right w:val="single" w:sz="4" w:space="0" w:color="auto"/>
            </w:tcBorders>
          </w:tcPr>
          <w:p w14:paraId="566E48E0" w14:textId="77777777" w:rsidR="00F26E61" w:rsidRPr="00F97146" w:rsidRDefault="00F26E61" w:rsidP="00407A8E">
            <w:pPr>
              <w:spacing w:line="276" w:lineRule="auto"/>
              <w:ind w:left="-48" w:firstLine="6"/>
              <w:jc w:val="center"/>
              <w:rPr>
                <w:iCs w:val="0"/>
                <w:sz w:val="18"/>
                <w:szCs w:val="14"/>
                <w:lang w:val="en-US"/>
              </w:rPr>
            </w:pPr>
            <w:r w:rsidRPr="00F97146">
              <w:rPr>
                <w:iCs w:val="0"/>
                <w:sz w:val="18"/>
                <w:szCs w:val="14"/>
                <w:lang w:val="en-US"/>
              </w:rPr>
              <w:t>73</w:t>
            </w:r>
          </w:p>
        </w:tc>
        <w:tc>
          <w:tcPr>
            <w:tcW w:w="1114" w:type="dxa"/>
            <w:tcBorders>
              <w:top w:val="single" w:sz="4" w:space="0" w:color="auto"/>
              <w:left w:val="single" w:sz="4" w:space="0" w:color="auto"/>
              <w:bottom w:val="single" w:sz="4" w:space="0" w:color="auto"/>
              <w:right w:val="single" w:sz="4" w:space="0" w:color="auto"/>
            </w:tcBorders>
          </w:tcPr>
          <w:p w14:paraId="5FEE9336" w14:textId="77777777" w:rsidR="00F26E61" w:rsidRPr="00F97146" w:rsidRDefault="00F26E61" w:rsidP="00407A8E">
            <w:pPr>
              <w:spacing w:line="276" w:lineRule="auto"/>
              <w:ind w:left="75"/>
              <w:jc w:val="center"/>
              <w:rPr>
                <w:iCs w:val="0"/>
                <w:sz w:val="18"/>
                <w:szCs w:val="14"/>
                <w:lang w:val="en-US"/>
              </w:rPr>
            </w:pPr>
            <w:r w:rsidRPr="00F97146">
              <w:rPr>
                <w:iCs w:val="0"/>
                <w:sz w:val="18"/>
                <w:szCs w:val="14"/>
                <w:lang w:val="fr-FR"/>
              </w:rPr>
              <w:t>1</w:t>
            </w:r>
          </w:p>
        </w:tc>
        <w:tc>
          <w:tcPr>
            <w:tcW w:w="1134" w:type="dxa"/>
            <w:tcBorders>
              <w:top w:val="single" w:sz="4" w:space="0" w:color="auto"/>
              <w:left w:val="single" w:sz="4" w:space="0" w:color="auto"/>
              <w:bottom w:val="single" w:sz="4" w:space="0" w:color="auto"/>
              <w:right w:val="single" w:sz="4" w:space="0" w:color="auto"/>
            </w:tcBorders>
          </w:tcPr>
          <w:p w14:paraId="5E9276A7" w14:textId="77777777" w:rsidR="00F26E61" w:rsidRPr="00F97146" w:rsidRDefault="00F26E61" w:rsidP="00407A8E">
            <w:pPr>
              <w:spacing w:line="276" w:lineRule="auto"/>
              <w:jc w:val="center"/>
              <w:rPr>
                <w:iCs w:val="0"/>
                <w:sz w:val="18"/>
                <w:szCs w:val="14"/>
                <w:lang w:val="en-US"/>
              </w:rPr>
            </w:pPr>
            <w:r w:rsidRPr="00F97146">
              <w:rPr>
                <w:iCs w:val="0"/>
                <w:sz w:val="18"/>
                <w:szCs w:val="14"/>
                <w:lang w:val="en-US"/>
              </w:rPr>
              <w:t>52</w:t>
            </w:r>
          </w:p>
        </w:tc>
        <w:tc>
          <w:tcPr>
            <w:tcW w:w="1134" w:type="dxa"/>
            <w:tcBorders>
              <w:top w:val="single" w:sz="4" w:space="0" w:color="auto"/>
              <w:left w:val="single" w:sz="4" w:space="0" w:color="auto"/>
              <w:bottom w:val="single" w:sz="4" w:space="0" w:color="auto"/>
              <w:right w:val="single" w:sz="4" w:space="0" w:color="auto"/>
            </w:tcBorders>
          </w:tcPr>
          <w:p w14:paraId="33DEBE0F" w14:textId="77777777" w:rsidR="00F26E61" w:rsidRPr="00F97146" w:rsidRDefault="00F26E61" w:rsidP="00407A8E">
            <w:pPr>
              <w:spacing w:line="276" w:lineRule="auto"/>
              <w:ind w:left="14"/>
              <w:jc w:val="center"/>
              <w:rPr>
                <w:iCs w:val="0"/>
                <w:sz w:val="18"/>
                <w:szCs w:val="14"/>
                <w:lang w:val="en-US"/>
              </w:rPr>
            </w:pPr>
            <w:r w:rsidRPr="00F97146">
              <w:rPr>
                <w:iCs w:val="0"/>
                <w:sz w:val="18"/>
                <w:szCs w:val="14"/>
                <w:lang w:val="en-US"/>
              </w:rPr>
              <w:t>f</w:t>
            </w:r>
          </w:p>
        </w:tc>
        <w:tc>
          <w:tcPr>
            <w:tcW w:w="4840" w:type="dxa"/>
            <w:tcBorders>
              <w:top w:val="single" w:sz="4" w:space="0" w:color="auto"/>
              <w:left w:val="single" w:sz="4" w:space="0" w:color="auto"/>
              <w:bottom w:val="single" w:sz="4" w:space="0" w:color="auto"/>
              <w:right w:val="single" w:sz="4" w:space="0" w:color="auto"/>
            </w:tcBorders>
          </w:tcPr>
          <w:p w14:paraId="032E13AE" w14:textId="77777777" w:rsidR="00F26E61" w:rsidRPr="00F97146" w:rsidRDefault="00F26E61" w:rsidP="00407A8E">
            <w:pPr>
              <w:spacing w:line="276" w:lineRule="auto"/>
              <w:ind w:left="39"/>
              <w:rPr>
                <w:iCs w:val="0"/>
                <w:sz w:val="18"/>
                <w:szCs w:val="14"/>
                <w:lang w:val="en-US"/>
              </w:rPr>
            </w:pPr>
            <w:r w:rsidRPr="00F97146">
              <w:rPr>
                <w:iCs w:val="0"/>
                <w:sz w:val="18"/>
                <w:szCs w:val="14"/>
                <w:lang w:val="en-US"/>
              </w:rPr>
              <w:t>Clarification is needed on the requirements for supporting device safety and performance based on non-clinical data in cases where clinical data is deemed to be not appropriate. Team NB supports the recognition of the additional non-clinical testing methods such as in-silico testing, ex-vivo, in-vitro testing and computational modeling.</w:t>
            </w:r>
          </w:p>
          <w:p w14:paraId="19B59F9A" w14:textId="77777777" w:rsidR="00F26E61" w:rsidRPr="00F97146" w:rsidRDefault="00F26E61" w:rsidP="00407A8E">
            <w:pPr>
              <w:spacing w:line="276" w:lineRule="auto"/>
              <w:ind w:left="39"/>
              <w:rPr>
                <w:iCs w:val="0"/>
                <w:sz w:val="18"/>
                <w:szCs w:val="14"/>
                <w:lang w:val="en-US"/>
              </w:rPr>
            </w:pPr>
          </w:p>
          <w:p w14:paraId="67B8A2EC" w14:textId="77777777" w:rsidR="00F26E61" w:rsidRPr="00F97146" w:rsidRDefault="00F26E61" w:rsidP="00407A8E">
            <w:pPr>
              <w:spacing w:line="276" w:lineRule="auto"/>
              <w:ind w:left="39"/>
              <w:rPr>
                <w:iCs w:val="0"/>
                <w:sz w:val="18"/>
                <w:szCs w:val="14"/>
                <w:lang w:val="en-US"/>
              </w:rPr>
            </w:pPr>
            <w:r w:rsidRPr="00F97146">
              <w:rPr>
                <w:iCs w:val="0"/>
                <w:sz w:val="18"/>
                <w:szCs w:val="14"/>
                <w:lang w:val="en-US"/>
              </w:rPr>
              <w:t>There is a concern that in the absence of any guidance from the Commission regarding the types of devices for which Art 61(10) is considered acceptable, the proposed changes will further exacerbate the inconsistent use and acceptance of this clinical evaluation route. As a result, NBs and manufacturers will continue to engage in onerous and time-consuming discussions regarding interpretation of the specific wording of the Art, rather than focusing on what data is needed to support a device and whether the available data is considered sufficient.</w:t>
            </w:r>
          </w:p>
          <w:p w14:paraId="314F2F9F" w14:textId="77777777" w:rsidR="00F26E61" w:rsidRPr="00F97146" w:rsidRDefault="00F26E61" w:rsidP="00407A8E">
            <w:pPr>
              <w:spacing w:line="276" w:lineRule="auto"/>
              <w:ind w:left="39"/>
              <w:rPr>
                <w:iCs w:val="0"/>
                <w:sz w:val="18"/>
                <w:szCs w:val="14"/>
                <w:lang w:val="en-US"/>
              </w:rPr>
            </w:pPr>
          </w:p>
          <w:p w14:paraId="45E2B237" w14:textId="77777777" w:rsidR="00F26E61" w:rsidRPr="00F97146" w:rsidRDefault="00F26E61" w:rsidP="00407A8E">
            <w:pPr>
              <w:spacing w:line="276" w:lineRule="auto"/>
              <w:ind w:left="39"/>
              <w:rPr>
                <w:iCs w:val="0"/>
                <w:sz w:val="18"/>
                <w:szCs w:val="14"/>
                <w:lang w:val="en-US"/>
              </w:rPr>
            </w:pPr>
            <w:r w:rsidRPr="00F97146">
              <w:rPr>
                <w:iCs w:val="0"/>
                <w:sz w:val="18"/>
                <w:szCs w:val="14"/>
                <w:lang w:val="en-US"/>
              </w:rPr>
              <w:t>Concerns:</w:t>
            </w:r>
          </w:p>
          <w:p w14:paraId="24DBBE73" w14:textId="77777777" w:rsidR="00F26E61" w:rsidRPr="00F97146" w:rsidRDefault="00F26E61" w:rsidP="00F26E61">
            <w:pPr>
              <w:pStyle w:val="Paragraphedeliste"/>
              <w:numPr>
                <w:ilvl w:val="0"/>
                <w:numId w:val="88"/>
              </w:numPr>
              <w:spacing w:after="0" w:line="276" w:lineRule="auto"/>
              <w:rPr>
                <w:iCs w:val="0"/>
                <w:sz w:val="18"/>
                <w:szCs w:val="14"/>
              </w:rPr>
            </w:pPr>
            <w:r w:rsidRPr="00F97146">
              <w:rPr>
                <w:iCs w:val="0"/>
                <w:sz w:val="18"/>
                <w:szCs w:val="14"/>
              </w:rPr>
              <w:t xml:space="preserve">The removal of the word “exception” implies that a greater number of class </w:t>
            </w:r>
            <w:proofErr w:type="spellStart"/>
            <w:r w:rsidRPr="00F97146">
              <w:rPr>
                <w:iCs w:val="0"/>
                <w:sz w:val="18"/>
                <w:szCs w:val="14"/>
              </w:rPr>
              <w:t>IIa</w:t>
            </w:r>
            <w:proofErr w:type="spellEnd"/>
            <w:r w:rsidRPr="00F97146">
              <w:rPr>
                <w:iCs w:val="0"/>
                <w:sz w:val="18"/>
                <w:szCs w:val="14"/>
              </w:rPr>
              <w:t xml:space="preserve"> and IIb non-implantable devices may become eligible for Art 61(10). This </w:t>
            </w:r>
            <w:r w:rsidRPr="00F97146">
              <w:rPr>
                <w:iCs w:val="0"/>
                <w:sz w:val="18"/>
                <w:szCs w:val="14"/>
              </w:rPr>
              <w:lastRenderedPageBreak/>
              <w:t>approach moves away from the underlying principles of the medical device regulation outlined in point 63 of the preamble, whereby the focus of the regulation is to ensure patient safety by emphasizing the important role played by clinical data when it comes to demonstrating device safety and performance. Rather than focusing on ensuring that sufficient evidence is available to demonstrate that a device is safe for use and will perform as intended, this change is likely to increase ambiguity and lead to greater inconsistency and disagreement between manufacturers and NBs, when determining the acceptability of such an approach.</w:t>
            </w:r>
          </w:p>
          <w:p w14:paraId="1D260CC8" w14:textId="77777777" w:rsidR="00F26E61" w:rsidRPr="00F97146" w:rsidRDefault="00F26E61" w:rsidP="00407A8E">
            <w:pPr>
              <w:spacing w:line="276" w:lineRule="auto"/>
              <w:ind w:left="39"/>
              <w:rPr>
                <w:iCs w:val="0"/>
                <w:sz w:val="18"/>
                <w:szCs w:val="14"/>
              </w:rPr>
            </w:pPr>
          </w:p>
          <w:p w14:paraId="57C527AD" w14:textId="77777777" w:rsidR="00F26E61" w:rsidRPr="00F97146" w:rsidRDefault="00F26E61" w:rsidP="00F26E61">
            <w:pPr>
              <w:pStyle w:val="Paragraphedeliste"/>
              <w:numPr>
                <w:ilvl w:val="0"/>
                <w:numId w:val="88"/>
              </w:numPr>
              <w:spacing w:after="0" w:line="276" w:lineRule="auto"/>
              <w:rPr>
                <w:iCs w:val="0"/>
                <w:sz w:val="18"/>
                <w:szCs w:val="14"/>
              </w:rPr>
            </w:pPr>
            <w:r w:rsidRPr="00F97146">
              <w:rPr>
                <w:iCs w:val="0"/>
                <w:sz w:val="18"/>
                <w:szCs w:val="14"/>
              </w:rPr>
              <w:t xml:space="preserve">The addition of “data available for the generic device group” potentially adds further ambiguity. It is not clear what ‘data’ the proposed wording is referring to. For example, is Art 61(10) considered to be unacceptable if clinical data is available for other devices within the same generic device group? Alternatively, in the absence of clinical data on the device under evaluation, does the proposed amendment intend for safety and performance to be demonstrated using generic device group clinical data for certain devices? This approach </w:t>
            </w:r>
            <w:r w:rsidRPr="00F97146">
              <w:rPr>
                <w:iCs w:val="0"/>
                <w:sz w:val="18"/>
                <w:szCs w:val="14"/>
              </w:rPr>
              <w:lastRenderedPageBreak/>
              <w:t>implies that Art 61(10) is moving towards a more lenient equivalence-type route.</w:t>
            </w:r>
          </w:p>
          <w:p w14:paraId="418FFB94" w14:textId="77777777" w:rsidR="00F26E61" w:rsidRPr="00F97146" w:rsidRDefault="00F26E61" w:rsidP="00407A8E">
            <w:pPr>
              <w:spacing w:line="276" w:lineRule="auto"/>
              <w:ind w:left="39"/>
              <w:rPr>
                <w:iCs w:val="0"/>
                <w:sz w:val="18"/>
                <w:szCs w:val="14"/>
              </w:rPr>
            </w:pPr>
          </w:p>
          <w:p w14:paraId="4BB32D8A" w14:textId="77777777" w:rsidR="00F26E61" w:rsidRPr="00F97146" w:rsidRDefault="00F26E61" w:rsidP="00F26E61">
            <w:pPr>
              <w:pStyle w:val="Paragraphedeliste"/>
              <w:numPr>
                <w:ilvl w:val="0"/>
                <w:numId w:val="88"/>
              </w:numPr>
              <w:spacing w:after="0" w:line="276" w:lineRule="auto"/>
              <w:rPr>
                <w:rFonts w:asciiTheme="minorHAnsi" w:hAnsiTheme="minorHAnsi"/>
                <w:bCs/>
                <w:sz w:val="18"/>
                <w:szCs w:val="14"/>
              </w:rPr>
            </w:pPr>
            <w:r w:rsidRPr="00F97146">
              <w:rPr>
                <w:iCs w:val="0"/>
                <w:sz w:val="18"/>
                <w:szCs w:val="14"/>
              </w:rPr>
              <w:t>There is a lack of clarity regarding what is meant by “not deemed appropriate” in relation to “the confirmation of safety and performance based on clinical data”. Is it foreseeable that the term “not deemed appropriate” could be interpreted to mean that clinical data is “not available prior to initial certification for the device under evaluation”. It must be acknowledged that there are situations in which certain devices are unlikely to obtain sufficient clinical data prior to initial certification, however once on the market, real world clinical data can be more readily generated. This may arise for several reasons, including the challenges in performing clinical studies (including ethical concerns, feasibility and excessive timelines) for some emergency use devices, limited reporting in the peer-reviewed scientific literature for routine standard</w:t>
            </w:r>
            <w:r w:rsidRPr="00F97146">
              <w:rPr>
                <w:iCs w:val="0"/>
                <w:sz w:val="18"/>
                <w:szCs w:val="14"/>
              </w:rPr>
              <w:noBreakHyphen/>
              <w:t>of</w:t>
            </w:r>
            <w:r w:rsidRPr="00F97146">
              <w:rPr>
                <w:iCs w:val="0"/>
                <w:sz w:val="18"/>
                <w:szCs w:val="14"/>
              </w:rPr>
              <w:noBreakHyphen/>
              <w:t>care medical devices, or a genuinely low appetite among clinicians to undertake clinical data</w:t>
            </w:r>
            <w:r w:rsidRPr="00F97146">
              <w:rPr>
                <w:iCs w:val="0"/>
                <w:sz w:val="18"/>
                <w:szCs w:val="14"/>
              </w:rPr>
              <w:noBreakHyphen/>
              <w:t>generation activities for certain standard-of-care or routine devices. Clear guidance for NBs on when such circumstances justify reliance on alternative non-clinical evidence would introduce greater pragmatism and consistency in evaluations</w:t>
            </w:r>
          </w:p>
        </w:tc>
        <w:tc>
          <w:tcPr>
            <w:tcW w:w="5528" w:type="dxa"/>
            <w:tcBorders>
              <w:top w:val="single" w:sz="4" w:space="0" w:color="auto"/>
              <w:left w:val="single" w:sz="4" w:space="0" w:color="auto"/>
              <w:bottom w:val="single" w:sz="4" w:space="0" w:color="auto"/>
              <w:right w:val="single" w:sz="4" w:space="0" w:color="auto"/>
            </w:tcBorders>
          </w:tcPr>
          <w:p w14:paraId="33E6D9A1" w14:textId="77777777" w:rsidR="00F26E61" w:rsidRPr="00F97146" w:rsidRDefault="00F26E61" w:rsidP="00407A8E">
            <w:pPr>
              <w:spacing w:line="276" w:lineRule="auto"/>
              <w:ind w:left="25"/>
              <w:rPr>
                <w:iCs w:val="0"/>
                <w:sz w:val="18"/>
                <w:szCs w:val="14"/>
                <w:lang w:val="en-US"/>
              </w:rPr>
            </w:pPr>
            <w:r w:rsidRPr="00F97146">
              <w:rPr>
                <w:iCs w:val="0"/>
                <w:sz w:val="18"/>
                <w:szCs w:val="14"/>
                <w:lang w:val="en-US"/>
              </w:rPr>
              <w:lastRenderedPageBreak/>
              <w:t>Delete Art 61(10).</w:t>
            </w:r>
          </w:p>
          <w:p w14:paraId="3A37CECE" w14:textId="77777777" w:rsidR="00F26E61" w:rsidRPr="00F97146" w:rsidRDefault="00F26E61" w:rsidP="00407A8E">
            <w:pPr>
              <w:spacing w:line="276" w:lineRule="auto"/>
              <w:ind w:left="25"/>
              <w:rPr>
                <w:iCs w:val="0"/>
                <w:sz w:val="18"/>
                <w:szCs w:val="14"/>
                <w:lang w:val="en-US"/>
              </w:rPr>
            </w:pPr>
          </w:p>
          <w:p w14:paraId="0A057C19" w14:textId="77777777" w:rsidR="00F26E61" w:rsidRPr="00F97146" w:rsidRDefault="00F26E61" w:rsidP="00407A8E">
            <w:pPr>
              <w:spacing w:line="276" w:lineRule="auto"/>
              <w:ind w:left="25"/>
              <w:rPr>
                <w:iCs w:val="0"/>
                <w:sz w:val="18"/>
                <w:szCs w:val="14"/>
                <w:lang w:val="en-US"/>
              </w:rPr>
            </w:pPr>
            <w:r w:rsidRPr="00F97146">
              <w:rPr>
                <w:iCs w:val="0"/>
                <w:sz w:val="18"/>
                <w:szCs w:val="14"/>
                <w:lang w:val="en-US"/>
              </w:rPr>
              <w:t xml:space="preserve">Team NB proposed text (Art 61(1)): </w:t>
            </w:r>
          </w:p>
          <w:p w14:paraId="0F767498" w14:textId="77777777" w:rsidR="00F26E61" w:rsidRPr="00F97146" w:rsidRDefault="00F26E61" w:rsidP="00F26E61">
            <w:pPr>
              <w:pStyle w:val="Paragraphedeliste"/>
              <w:numPr>
                <w:ilvl w:val="0"/>
                <w:numId w:val="89"/>
              </w:numPr>
              <w:spacing w:after="0" w:line="276" w:lineRule="auto"/>
              <w:rPr>
                <w:i/>
                <w:sz w:val="18"/>
                <w:szCs w:val="14"/>
                <w:lang w:val="en-US"/>
              </w:rPr>
            </w:pPr>
            <w:r w:rsidRPr="00F97146">
              <w:rPr>
                <w:iCs w:val="0"/>
                <w:sz w:val="18"/>
                <w:szCs w:val="14"/>
                <w:lang w:val="en-US"/>
              </w:rPr>
              <w:t>“</w:t>
            </w:r>
            <w:r w:rsidRPr="00F97146">
              <w:rPr>
                <w:i/>
                <w:sz w:val="18"/>
                <w:szCs w:val="14"/>
                <w:lang w:val="en-US"/>
              </w:rPr>
              <w:t>Manufacturers shall plan, conduct and document a clinical evaluation in accordance with this Art</w:t>
            </w:r>
            <w:r w:rsidRPr="00F97146">
              <w:rPr>
                <w:rFonts w:ascii="Arial" w:hAnsi="Arial" w:cs="Arial"/>
                <w:i/>
                <w:sz w:val="18"/>
                <w:szCs w:val="14"/>
                <w:lang w:val="en-US"/>
              </w:rPr>
              <w:t> </w:t>
            </w:r>
            <w:r w:rsidRPr="00F97146">
              <w:rPr>
                <w:i/>
                <w:sz w:val="18"/>
                <w:szCs w:val="14"/>
                <w:lang w:val="en-US"/>
              </w:rPr>
              <w:t>and with Part A of Annex</w:t>
            </w:r>
            <w:r w:rsidRPr="00F97146">
              <w:rPr>
                <w:rFonts w:ascii="Arial" w:hAnsi="Arial" w:cs="Arial"/>
                <w:i/>
                <w:sz w:val="18"/>
                <w:szCs w:val="14"/>
                <w:lang w:val="en-US"/>
              </w:rPr>
              <w:t> </w:t>
            </w:r>
            <w:r w:rsidRPr="00F97146">
              <w:rPr>
                <w:i/>
                <w:sz w:val="18"/>
                <w:szCs w:val="14"/>
                <w:lang w:val="en-US"/>
              </w:rPr>
              <w:t>XIV to confirm the safety and performance of the device under normal conditions of use in accordance with the intended purpose of the device, and shall evaluate any undesirable side-effects and the acceptability of the benefit-risk- ratio referred to in Sections 1 and 8 of Annex</w:t>
            </w:r>
            <w:r w:rsidRPr="00F97146">
              <w:rPr>
                <w:rFonts w:ascii="Arial" w:hAnsi="Arial" w:cs="Arial"/>
                <w:i/>
                <w:sz w:val="18"/>
                <w:szCs w:val="14"/>
                <w:lang w:val="en-US"/>
              </w:rPr>
              <w:t> </w:t>
            </w:r>
            <w:r w:rsidRPr="00F97146">
              <w:rPr>
                <w:i/>
                <w:sz w:val="18"/>
                <w:szCs w:val="14"/>
                <w:lang w:val="en-US"/>
              </w:rPr>
              <w:t>I.</w:t>
            </w:r>
          </w:p>
          <w:p w14:paraId="4E63B6D2" w14:textId="77777777" w:rsidR="00F26E61" w:rsidRPr="00F97146" w:rsidRDefault="00F26E61" w:rsidP="00F26E61">
            <w:pPr>
              <w:pStyle w:val="Paragraphedeliste"/>
              <w:numPr>
                <w:ilvl w:val="0"/>
                <w:numId w:val="89"/>
              </w:numPr>
              <w:spacing w:after="0" w:line="276" w:lineRule="auto"/>
              <w:rPr>
                <w:i/>
                <w:sz w:val="18"/>
                <w:szCs w:val="14"/>
                <w:lang w:val="en-US"/>
              </w:rPr>
            </w:pPr>
            <w:r w:rsidRPr="00F97146">
              <w:rPr>
                <w:i/>
                <w:sz w:val="18"/>
                <w:szCs w:val="14"/>
                <w:lang w:val="en-US"/>
              </w:rPr>
              <w:t>The manufacturer shall specify and justify the level of clinical evidence necessary to confirm the safety and performance of the device. That level of clinical evidence shall be appropriate in view of the characteristics of the device and its intended purpose.</w:t>
            </w:r>
          </w:p>
          <w:p w14:paraId="62697AB1" w14:textId="77777777" w:rsidR="00F26E61" w:rsidRPr="00F97146" w:rsidRDefault="00F26E61" w:rsidP="00F26E61">
            <w:pPr>
              <w:pStyle w:val="Paragraphedeliste"/>
              <w:numPr>
                <w:ilvl w:val="0"/>
                <w:numId w:val="89"/>
              </w:numPr>
              <w:spacing w:after="0" w:line="276" w:lineRule="auto"/>
              <w:rPr>
                <w:iCs w:val="0"/>
                <w:sz w:val="18"/>
                <w:szCs w:val="14"/>
                <w:lang w:val="en-US"/>
              </w:rPr>
            </w:pPr>
            <w:r w:rsidRPr="00F97146">
              <w:rPr>
                <w:i/>
                <w:sz w:val="18"/>
                <w:szCs w:val="14"/>
                <w:lang w:val="en-US"/>
              </w:rPr>
              <w:t>The clinical evaluation, its results and the clinical evidence derived from it shall be documented in a clinical evaluation report as referred to in Section</w:t>
            </w:r>
            <w:r w:rsidRPr="00F97146">
              <w:rPr>
                <w:rFonts w:ascii="Arial" w:hAnsi="Arial" w:cs="Arial"/>
                <w:i/>
                <w:sz w:val="18"/>
                <w:szCs w:val="14"/>
                <w:lang w:val="en-US"/>
              </w:rPr>
              <w:t> </w:t>
            </w:r>
            <w:r w:rsidRPr="00F97146">
              <w:rPr>
                <w:i/>
                <w:sz w:val="18"/>
                <w:szCs w:val="14"/>
                <w:lang w:val="en-US"/>
              </w:rPr>
              <w:t>4 of Annex</w:t>
            </w:r>
            <w:r w:rsidRPr="00F97146">
              <w:rPr>
                <w:rFonts w:ascii="Arial" w:hAnsi="Arial" w:cs="Arial"/>
                <w:i/>
                <w:sz w:val="18"/>
                <w:szCs w:val="14"/>
                <w:lang w:val="en-US"/>
              </w:rPr>
              <w:t> </w:t>
            </w:r>
            <w:r w:rsidRPr="00F97146">
              <w:rPr>
                <w:i/>
                <w:sz w:val="18"/>
                <w:szCs w:val="14"/>
                <w:lang w:val="en-US"/>
              </w:rPr>
              <w:t>XIV, which, except for custom-made devices, shall be part of the technical documentation referred to in Annex</w:t>
            </w:r>
            <w:r w:rsidRPr="00F97146">
              <w:rPr>
                <w:rFonts w:ascii="Arial" w:hAnsi="Arial" w:cs="Arial"/>
                <w:i/>
                <w:sz w:val="18"/>
                <w:szCs w:val="14"/>
                <w:lang w:val="en-US"/>
              </w:rPr>
              <w:t> </w:t>
            </w:r>
            <w:r w:rsidRPr="00F97146">
              <w:rPr>
                <w:i/>
                <w:sz w:val="18"/>
                <w:szCs w:val="14"/>
                <w:lang w:val="en-US"/>
              </w:rPr>
              <w:t>II relating to the device concerned</w:t>
            </w:r>
            <w:r w:rsidRPr="00F97146">
              <w:rPr>
                <w:iCs w:val="0"/>
                <w:sz w:val="18"/>
                <w:szCs w:val="14"/>
                <w:lang w:val="en-US"/>
              </w:rPr>
              <w:t>.”</w:t>
            </w:r>
          </w:p>
          <w:p w14:paraId="0394C16E" w14:textId="77777777" w:rsidR="00F26E61" w:rsidRPr="00F97146" w:rsidRDefault="00F26E61" w:rsidP="00407A8E">
            <w:pPr>
              <w:spacing w:line="276" w:lineRule="auto"/>
              <w:ind w:left="25"/>
              <w:rPr>
                <w:iCs w:val="0"/>
                <w:sz w:val="18"/>
                <w:szCs w:val="14"/>
                <w:lang w:val="en-US"/>
              </w:rPr>
            </w:pPr>
          </w:p>
          <w:p w14:paraId="7CCD465D" w14:textId="77777777" w:rsidR="00F26E61" w:rsidRPr="00F97146" w:rsidRDefault="00F26E61" w:rsidP="00407A8E">
            <w:pPr>
              <w:spacing w:line="276" w:lineRule="auto"/>
              <w:rPr>
                <w:bCs/>
                <w:iCs w:val="0"/>
                <w:sz w:val="18"/>
                <w:szCs w:val="14"/>
              </w:rPr>
            </w:pPr>
            <w:r w:rsidRPr="00F97146">
              <w:rPr>
                <w:iCs w:val="0"/>
                <w:sz w:val="18"/>
                <w:szCs w:val="14"/>
              </w:rPr>
              <w:lastRenderedPageBreak/>
              <w:t>In addition, at the time of publication of the amendment, the Commission must provide manufacturers and NBs with proper guidance to ensure consistent interpretation and implementation of the criteria for justifying the necessary level of clinical data, clearly reinforcing point 63 of the MDR preamble</w:t>
            </w:r>
            <w:r w:rsidRPr="00F97146">
              <w:rPr>
                <w:iCs w:val="0"/>
                <w:sz w:val="18"/>
                <w:szCs w:val="14"/>
                <w:vertAlign w:val="superscript"/>
              </w:rPr>
              <w:footnoteReference w:id="4"/>
            </w:r>
            <w:r w:rsidRPr="00F97146">
              <w:rPr>
                <w:iCs w:val="0"/>
                <w:sz w:val="18"/>
                <w:szCs w:val="14"/>
              </w:rPr>
              <w:t>, that normally some clinical data should be provided and that reliance on non-clinical data alone should only apply to devices where clinical data does not inform on safety and/or performance.</w:t>
            </w:r>
          </w:p>
        </w:tc>
      </w:tr>
      <w:tr w:rsidR="00F26E61" w:rsidRPr="00F97146" w14:paraId="4304EE9C" w14:textId="77777777" w:rsidTr="0022597C">
        <w:tc>
          <w:tcPr>
            <w:tcW w:w="568" w:type="dxa"/>
          </w:tcPr>
          <w:p w14:paraId="37BCBFBE" w14:textId="77777777" w:rsidR="00F26E61" w:rsidRPr="00F97146" w:rsidRDefault="00F26E61" w:rsidP="00407A8E">
            <w:pPr>
              <w:spacing w:line="276" w:lineRule="auto"/>
              <w:ind w:left="-48" w:firstLine="6"/>
              <w:jc w:val="center"/>
              <w:rPr>
                <w:rFonts w:eastAsia="Segoe UI" w:cs="Segoe UI"/>
                <w:iCs w:val="0"/>
                <w:sz w:val="18"/>
                <w:szCs w:val="14"/>
              </w:rPr>
            </w:pPr>
            <w:r w:rsidRPr="00F97146">
              <w:rPr>
                <w:rFonts w:eastAsia="Segoe UI" w:cs="Segoe UI"/>
                <w:iCs w:val="0"/>
                <w:sz w:val="18"/>
                <w:szCs w:val="14"/>
              </w:rPr>
              <w:lastRenderedPageBreak/>
              <w:t>34</w:t>
            </w:r>
          </w:p>
        </w:tc>
        <w:tc>
          <w:tcPr>
            <w:tcW w:w="1134" w:type="dxa"/>
            <w:tcBorders>
              <w:top w:val="single" w:sz="4" w:space="0" w:color="auto"/>
              <w:left w:val="single" w:sz="4" w:space="0" w:color="auto"/>
              <w:bottom w:val="single" w:sz="4" w:space="0" w:color="auto"/>
              <w:right w:val="single" w:sz="4" w:space="0" w:color="auto"/>
            </w:tcBorders>
          </w:tcPr>
          <w:p w14:paraId="5F14B93C" w14:textId="77777777" w:rsidR="00F26E61" w:rsidRPr="00F97146" w:rsidRDefault="00F26E61" w:rsidP="00407A8E">
            <w:pPr>
              <w:spacing w:line="276" w:lineRule="auto"/>
              <w:ind w:left="-48" w:firstLine="6"/>
              <w:jc w:val="center"/>
              <w:rPr>
                <w:rFonts w:eastAsia="Segoe UI" w:cs="Segoe UI"/>
                <w:iCs w:val="0"/>
                <w:sz w:val="18"/>
                <w:szCs w:val="14"/>
              </w:rPr>
            </w:pPr>
            <w:r w:rsidRPr="00F97146">
              <w:rPr>
                <w:rFonts w:eastAsia="Segoe UI" w:cs="Segoe UI"/>
                <w:iCs w:val="0"/>
                <w:sz w:val="18"/>
                <w:szCs w:val="14"/>
              </w:rPr>
              <w:t>76</w:t>
            </w:r>
          </w:p>
        </w:tc>
        <w:tc>
          <w:tcPr>
            <w:tcW w:w="1114" w:type="dxa"/>
            <w:tcBorders>
              <w:top w:val="single" w:sz="4" w:space="0" w:color="auto"/>
              <w:left w:val="single" w:sz="4" w:space="0" w:color="auto"/>
              <w:bottom w:val="single" w:sz="4" w:space="0" w:color="auto"/>
              <w:right w:val="single" w:sz="4" w:space="0" w:color="auto"/>
            </w:tcBorders>
          </w:tcPr>
          <w:p w14:paraId="39130B23" w14:textId="77777777" w:rsidR="00F26E61" w:rsidRPr="00F97146" w:rsidRDefault="00F26E61" w:rsidP="00407A8E">
            <w:pPr>
              <w:spacing w:line="276" w:lineRule="auto"/>
              <w:ind w:left="75"/>
              <w:jc w:val="center"/>
              <w:rPr>
                <w:rFonts w:eastAsia="Segoe UI" w:cs="Segoe UI"/>
                <w:iCs w:val="0"/>
                <w:sz w:val="18"/>
                <w:szCs w:val="14"/>
              </w:rPr>
            </w:pPr>
            <w:r w:rsidRPr="00F97146">
              <w:rPr>
                <w:iCs w:val="0"/>
                <w:sz w:val="18"/>
                <w:szCs w:val="14"/>
                <w:lang w:val="fr-FR"/>
              </w:rPr>
              <w:t>1</w:t>
            </w:r>
          </w:p>
        </w:tc>
        <w:tc>
          <w:tcPr>
            <w:tcW w:w="1134" w:type="dxa"/>
            <w:tcBorders>
              <w:top w:val="single" w:sz="4" w:space="0" w:color="auto"/>
              <w:left w:val="single" w:sz="4" w:space="0" w:color="auto"/>
              <w:bottom w:val="single" w:sz="4" w:space="0" w:color="auto"/>
              <w:right w:val="single" w:sz="4" w:space="0" w:color="auto"/>
            </w:tcBorders>
          </w:tcPr>
          <w:p w14:paraId="2A9F1D7A" w14:textId="77777777" w:rsidR="00F26E61" w:rsidRPr="00F97146" w:rsidRDefault="00F26E61" w:rsidP="00407A8E">
            <w:pPr>
              <w:spacing w:line="276" w:lineRule="auto"/>
              <w:jc w:val="center"/>
              <w:rPr>
                <w:rFonts w:eastAsia="Segoe UI" w:cs="Segoe UI"/>
                <w:iCs w:val="0"/>
                <w:sz w:val="18"/>
                <w:szCs w:val="14"/>
              </w:rPr>
            </w:pPr>
            <w:r w:rsidRPr="00F97146">
              <w:rPr>
                <w:rFonts w:eastAsia="Segoe UI" w:cs="Segoe UI"/>
                <w:iCs w:val="0"/>
                <w:sz w:val="18"/>
                <w:szCs w:val="14"/>
              </w:rPr>
              <w:t>67</w:t>
            </w:r>
          </w:p>
        </w:tc>
        <w:tc>
          <w:tcPr>
            <w:tcW w:w="1134" w:type="dxa"/>
            <w:tcBorders>
              <w:top w:val="single" w:sz="4" w:space="0" w:color="auto"/>
              <w:left w:val="single" w:sz="4" w:space="0" w:color="auto"/>
              <w:bottom w:val="single" w:sz="4" w:space="0" w:color="auto"/>
              <w:right w:val="single" w:sz="4" w:space="0" w:color="auto"/>
            </w:tcBorders>
          </w:tcPr>
          <w:p w14:paraId="353A8A0B" w14:textId="77777777" w:rsidR="00F26E61" w:rsidRPr="00F97146" w:rsidRDefault="00F26E61" w:rsidP="00407A8E">
            <w:pPr>
              <w:spacing w:line="276" w:lineRule="auto"/>
              <w:ind w:left="14"/>
              <w:jc w:val="center"/>
              <w:rPr>
                <w:rFonts w:eastAsia="Segoe UI" w:cs="Segoe UI"/>
                <w:iCs w:val="0"/>
                <w:sz w:val="18"/>
                <w:szCs w:val="14"/>
              </w:rPr>
            </w:pPr>
            <w:r w:rsidRPr="00F97146">
              <w:rPr>
                <w:rFonts w:eastAsia="Segoe UI" w:cs="Segoe UI"/>
                <w:iCs w:val="0"/>
                <w:sz w:val="18"/>
                <w:szCs w:val="14"/>
              </w:rPr>
              <w:t>a</w:t>
            </w:r>
          </w:p>
        </w:tc>
        <w:tc>
          <w:tcPr>
            <w:tcW w:w="4840" w:type="dxa"/>
            <w:tcBorders>
              <w:top w:val="single" w:sz="4" w:space="0" w:color="auto"/>
              <w:left w:val="single" w:sz="4" w:space="0" w:color="auto"/>
              <w:bottom w:val="single" w:sz="4" w:space="0" w:color="auto"/>
              <w:right w:val="single" w:sz="4" w:space="0" w:color="auto"/>
            </w:tcBorders>
          </w:tcPr>
          <w:p w14:paraId="21CE8EBB" w14:textId="77777777" w:rsidR="00F26E61" w:rsidRDefault="00F26E61" w:rsidP="00407A8E">
            <w:pPr>
              <w:rPr>
                <w:rFonts w:eastAsia="Segoe UI" w:cs="Segoe UI"/>
                <w:iCs w:val="0"/>
                <w:sz w:val="18"/>
                <w:szCs w:val="14"/>
              </w:rPr>
            </w:pPr>
            <w:r w:rsidRPr="00F97146">
              <w:rPr>
                <w:rFonts w:eastAsia="Segoe UI" w:cs="Segoe UI"/>
                <w:iCs w:val="0"/>
                <w:sz w:val="18"/>
                <w:szCs w:val="14"/>
              </w:rPr>
              <w:t xml:space="preserve">Annual PSURs enable early detection of trends in adverse events, erroneous results, and performance degradation. Extending the interval to two years increases the likelihood </w:t>
            </w:r>
            <w:r w:rsidRPr="00F97146">
              <w:rPr>
                <w:rFonts w:eastAsia="Segoe UI" w:cs="Segoe UI"/>
                <w:iCs w:val="0"/>
                <w:sz w:val="18"/>
                <w:szCs w:val="14"/>
              </w:rPr>
              <w:lastRenderedPageBreak/>
              <w:t>that emerging safety signals remain undetected for longer, delaying necessary corrective actions.</w:t>
            </w:r>
          </w:p>
          <w:p w14:paraId="0C466165" w14:textId="77777777" w:rsidR="00F26E61" w:rsidRPr="00F97146" w:rsidRDefault="00F26E61" w:rsidP="00407A8E">
            <w:pPr>
              <w:rPr>
                <w:rFonts w:eastAsia="Segoe UI" w:cs="Segoe UI"/>
                <w:iCs w:val="0"/>
                <w:sz w:val="18"/>
                <w:szCs w:val="14"/>
              </w:rPr>
            </w:pPr>
            <w:r w:rsidRPr="001C3F2D">
              <w:rPr>
                <w:rFonts w:eastAsia="Segoe UI" w:cs="Segoe UI"/>
                <w:iCs w:val="0"/>
                <w:sz w:val="18"/>
                <w:szCs w:val="14"/>
              </w:rPr>
              <w:t>Extending PSUR update intervals has a materially greater impact where standalone notified body PSUR review is also reduced or eliminated</w:t>
            </w:r>
            <w:r>
              <w:rPr>
                <w:rFonts w:eastAsia="Segoe UI" w:cs="Segoe UI"/>
                <w:iCs w:val="0"/>
                <w:sz w:val="18"/>
                <w:szCs w:val="14"/>
              </w:rPr>
              <w:t>.</w:t>
            </w:r>
          </w:p>
          <w:p w14:paraId="031321C8" w14:textId="77777777" w:rsidR="00F26E61" w:rsidRPr="00F97146" w:rsidRDefault="00F26E61" w:rsidP="00407A8E">
            <w:pPr>
              <w:rPr>
                <w:rFonts w:eastAsia="Segoe UI" w:cs="Segoe UI"/>
                <w:iCs w:val="0"/>
                <w:sz w:val="18"/>
                <w:szCs w:val="14"/>
              </w:rPr>
            </w:pPr>
          </w:p>
          <w:p w14:paraId="1003B114" w14:textId="77777777" w:rsidR="00F26E61" w:rsidRPr="00F97146" w:rsidRDefault="00F26E61" w:rsidP="00407A8E">
            <w:pPr>
              <w:rPr>
                <w:rFonts w:eastAsia="Segoe UI" w:cs="Segoe UI"/>
                <w:iCs w:val="0"/>
                <w:sz w:val="18"/>
                <w:szCs w:val="14"/>
              </w:rPr>
            </w:pPr>
            <w:r w:rsidRPr="00F97146">
              <w:rPr>
                <w:rFonts w:eastAsia="Segoe UI" w:cs="Segoe UI"/>
                <w:iCs w:val="0"/>
                <w:sz w:val="18"/>
                <w:szCs w:val="14"/>
              </w:rPr>
              <w:t>Class III devices present the highest individual and public health risk and annual updates are essential to ensure timely identification of safety concerns.</w:t>
            </w:r>
          </w:p>
          <w:p w14:paraId="78AD0150" w14:textId="77777777" w:rsidR="00F26E61" w:rsidRPr="00F97146" w:rsidRDefault="00F26E61" w:rsidP="00407A8E">
            <w:pPr>
              <w:rPr>
                <w:rFonts w:eastAsia="Segoe UI" w:cs="Segoe UI"/>
                <w:iCs w:val="0"/>
                <w:sz w:val="18"/>
                <w:szCs w:val="14"/>
              </w:rPr>
            </w:pPr>
          </w:p>
          <w:p w14:paraId="201861FC" w14:textId="77777777" w:rsidR="00F26E61" w:rsidRPr="00F97146" w:rsidRDefault="00F26E61" w:rsidP="00407A8E">
            <w:pPr>
              <w:rPr>
                <w:rFonts w:eastAsia="Segoe UI" w:cs="Segoe UI"/>
                <w:b/>
                <w:bCs/>
                <w:iCs w:val="0"/>
                <w:sz w:val="18"/>
                <w:szCs w:val="14"/>
              </w:rPr>
            </w:pPr>
            <w:r w:rsidRPr="00F97146">
              <w:rPr>
                <w:rFonts w:eastAsia="Segoe UI" w:cs="Segoe UI"/>
                <w:iCs w:val="0"/>
                <w:sz w:val="18"/>
                <w:szCs w:val="14"/>
              </w:rPr>
              <w:t>Class IIb devices that are not novel/orphan/breakthrough devices may retain a reduced frequency for administrative relief but still require updates following major changes. This approach preserves alignment with MDR principles of proportionality and risk</w:t>
            </w:r>
            <w:r w:rsidRPr="00F97146">
              <w:rPr>
                <w:rFonts w:ascii="Cambria Math" w:eastAsia="Segoe UI" w:hAnsi="Cambria Math" w:cs="Cambria Math"/>
                <w:iCs w:val="0"/>
                <w:sz w:val="18"/>
                <w:szCs w:val="14"/>
              </w:rPr>
              <w:t>‑</w:t>
            </w:r>
            <w:r w:rsidRPr="00F97146">
              <w:rPr>
                <w:rFonts w:eastAsia="Segoe UI" w:cs="Segoe UI"/>
                <w:iCs w:val="0"/>
                <w:sz w:val="18"/>
                <w:szCs w:val="14"/>
              </w:rPr>
              <w:t>based oversight.</w:t>
            </w:r>
          </w:p>
        </w:tc>
        <w:tc>
          <w:tcPr>
            <w:tcW w:w="5528" w:type="dxa"/>
            <w:tcBorders>
              <w:top w:val="single" w:sz="4" w:space="0" w:color="auto"/>
              <w:left w:val="single" w:sz="4" w:space="0" w:color="auto"/>
              <w:bottom w:val="single" w:sz="4" w:space="0" w:color="auto"/>
              <w:right w:val="single" w:sz="4" w:space="0" w:color="auto"/>
            </w:tcBorders>
          </w:tcPr>
          <w:p w14:paraId="6273C734" w14:textId="77777777" w:rsidR="00F26E61" w:rsidRPr="00F97146" w:rsidRDefault="00F26E61" w:rsidP="00407A8E">
            <w:pPr>
              <w:spacing w:before="60"/>
              <w:rPr>
                <w:rFonts w:eastAsia="Segoe UI" w:cs="Segoe UI"/>
                <w:iCs w:val="0"/>
                <w:sz w:val="18"/>
                <w:szCs w:val="14"/>
              </w:rPr>
            </w:pPr>
            <w:r w:rsidRPr="00F97146">
              <w:rPr>
                <w:rFonts w:eastAsia="Segoe UI" w:cs="Segoe UI"/>
                <w:iCs w:val="0"/>
                <w:sz w:val="18"/>
                <w:szCs w:val="14"/>
              </w:rPr>
              <w:lastRenderedPageBreak/>
              <w:t>Team NB proposed text:</w:t>
            </w:r>
          </w:p>
          <w:p w14:paraId="0EADFABF" w14:textId="77777777" w:rsidR="00F26E61" w:rsidRPr="00F97146" w:rsidRDefault="00F26E61" w:rsidP="00407A8E">
            <w:pPr>
              <w:rPr>
                <w:rFonts w:eastAsia="Segoe UI" w:cs="Segoe UI"/>
                <w:i/>
                <w:sz w:val="18"/>
                <w:szCs w:val="14"/>
              </w:rPr>
            </w:pPr>
            <w:r w:rsidRPr="00F97146">
              <w:rPr>
                <w:rFonts w:eastAsia="Segoe UI" w:cs="Segoe UI"/>
                <w:iCs w:val="0"/>
                <w:sz w:val="18"/>
                <w:szCs w:val="14"/>
              </w:rPr>
              <w:t>“</w:t>
            </w:r>
            <w:r w:rsidRPr="00F97146">
              <w:rPr>
                <w:rFonts w:eastAsia="Segoe UI" w:cs="Segoe UI"/>
                <w:i/>
                <w:sz w:val="18"/>
                <w:szCs w:val="14"/>
              </w:rPr>
              <w:t xml:space="preserve">Manufacturers of Class III devices or novel/orphan/breakthrough devices shall update the PSUR at least annually and whenever there is </w:t>
            </w:r>
            <w:r w:rsidRPr="00F97146">
              <w:rPr>
                <w:rFonts w:eastAsia="Segoe UI" w:cs="Segoe UI"/>
                <w:i/>
                <w:sz w:val="18"/>
                <w:szCs w:val="14"/>
              </w:rPr>
              <w:lastRenderedPageBreak/>
              <w:t>a significant change in the benefit–risk determination or in the acceptability of erroneous results.</w:t>
            </w:r>
          </w:p>
          <w:p w14:paraId="43793798" w14:textId="77777777" w:rsidR="00F26E61" w:rsidRPr="00F97146" w:rsidRDefault="00F26E61" w:rsidP="00407A8E">
            <w:pPr>
              <w:rPr>
                <w:rFonts w:eastAsia="Segoe UI" w:cs="Segoe UI"/>
                <w:i/>
                <w:sz w:val="18"/>
                <w:szCs w:val="14"/>
              </w:rPr>
            </w:pPr>
          </w:p>
          <w:p w14:paraId="1C56A3A1" w14:textId="77777777" w:rsidR="00F26E61" w:rsidRPr="00F97146" w:rsidRDefault="00F26E61" w:rsidP="00407A8E">
            <w:pPr>
              <w:rPr>
                <w:rFonts w:eastAsia="Segoe UI" w:cs="Segoe UI"/>
                <w:i/>
                <w:sz w:val="18"/>
                <w:szCs w:val="14"/>
              </w:rPr>
            </w:pPr>
            <w:r w:rsidRPr="00F97146">
              <w:rPr>
                <w:rFonts w:eastAsia="Segoe UI" w:cs="Segoe UI"/>
                <w:i/>
                <w:sz w:val="18"/>
                <w:szCs w:val="14"/>
              </w:rPr>
              <w:t>Manufacturers of class IIb devices shall update the PSUR in the first year after the certificate is issued and every two years thereafter, or earlier if there is a significant change in the benefit–risk determination, in the acceptability of erroneous results, or when the notified body has raised concerns and it has been agreed that these will be addressed through increased PSUR scrutiny.</w:t>
            </w:r>
          </w:p>
          <w:p w14:paraId="42D0100F" w14:textId="77777777" w:rsidR="00F26E61" w:rsidRPr="00F97146" w:rsidRDefault="00F26E61" w:rsidP="00407A8E">
            <w:pPr>
              <w:rPr>
                <w:rFonts w:eastAsia="Segoe UI" w:cs="Segoe UI"/>
                <w:iCs w:val="0"/>
                <w:sz w:val="18"/>
                <w:szCs w:val="14"/>
              </w:rPr>
            </w:pPr>
            <w:r w:rsidRPr="00F97146">
              <w:rPr>
                <w:rFonts w:eastAsia="Segoe UI" w:cs="Segoe UI"/>
                <w:i/>
                <w:sz w:val="18"/>
                <w:szCs w:val="14"/>
              </w:rPr>
              <w:t>Each PSUR shall form part of the technical documentation as specified in Annex III.</w:t>
            </w:r>
          </w:p>
        </w:tc>
      </w:tr>
      <w:tr w:rsidR="00F26E61" w:rsidRPr="00F97146" w14:paraId="0E973ECE" w14:textId="77777777" w:rsidTr="0022597C">
        <w:tc>
          <w:tcPr>
            <w:tcW w:w="568" w:type="dxa"/>
          </w:tcPr>
          <w:p w14:paraId="2F42A460" w14:textId="77777777" w:rsidR="00F26E61" w:rsidRPr="00F97146" w:rsidRDefault="00F26E61" w:rsidP="00407A8E">
            <w:pPr>
              <w:spacing w:line="276" w:lineRule="auto"/>
              <w:ind w:left="-48" w:firstLine="6"/>
              <w:jc w:val="center"/>
              <w:rPr>
                <w:rFonts w:eastAsia="Segoe UI" w:cs="Segoe UI"/>
                <w:iCs w:val="0"/>
                <w:sz w:val="18"/>
                <w:szCs w:val="14"/>
              </w:rPr>
            </w:pPr>
            <w:r w:rsidRPr="00F97146">
              <w:rPr>
                <w:rFonts w:eastAsia="Segoe UI" w:cs="Segoe UI"/>
                <w:iCs w:val="0"/>
                <w:sz w:val="18"/>
                <w:szCs w:val="14"/>
              </w:rPr>
              <w:lastRenderedPageBreak/>
              <w:t>35</w:t>
            </w:r>
          </w:p>
        </w:tc>
        <w:tc>
          <w:tcPr>
            <w:tcW w:w="1134" w:type="dxa"/>
            <w:tcBorders>
              <w:top w:val="single" w:sz="4" w:space="0" w:color="auto"/>
              <w:left w:val="single" w:sz="4" w:space="0" w:color="auto"/>
              <w:bottom w:val="single" w:sz="4" w:space="0" w:color="auto"/>
              <w:right w:val="single" w:sz="4" w:space="0" w:color="auto"/>
            </w:tcBorders>
          </w:tcPr>
          <w:p w14:paraId="2AA8B837" w14:textId="77777777" w:rsidR="00F26E61" w:rsidRPr="00F97146" w:rsidRDefault="00F26E61" w:rsidP="00407A8E">
            <w:pPr>
              <w:spacing w:line="276" w:lineRule="auto"/>
              <w:ind w:left="-48" w:firstLine="6"/>
              <w:jc w:val="center"/>
              <w:rPr>
                <w:rFonts w:eastAsia="Segoe UI" w:cs="Segoe UI"/>
                <w:iCs w:val="0"/>
                <w:sz w:val="18"/>
                <w:szCs w:val="14"/>
              </w:rPr>
            </w:pPr>
            <w:r w:rsidRPr="00F97146">
              <w:rPr>
                <w:rFonts w:eastAsia="Segoe UI" w:cs="Segoe UI"/>
                <w:iCs w:val="0"/>
                <w:sz w:val="18"/>
                <w:szCs w:val="14"/>
              </w:rPr>
              <w:t>77</w:t>
            </w:r>
          </w:p>
        </w:tc>
        <w:tc>
          <w:tcPr>
            <w:tcW w:w="1114" w:type="dxa"/>
            <w:tcBorders>
              <w:top w:val="single" w:sz="4" w:space="0" w:color="auto"/>
              <w:left w:val="single" w:sz="4" w:space="0" w:color="auto"/>
              <w:bottom w:val="single" w:sz="4" w:space="0" w:color="auto"/>
              <w:right w:val="single" w:sz="4" w:space="0" w:color="auto"/>
            </w:tcBorders>
          </w:tcPr>
          <w:p w14:paraId="25AFD872" w14:textId="77777777" w:rsidR="00F26E61" w:rsidRPr="00F97146" w:rsidRDefault="00F26E61" w:rsidP="00407A8E">
            <w:pPr>
              <w:spacing w:line="276" w:lineRule="auto"/>
              <w:ind w:left="75"/>
              <w:jc w:val="center"/>
              <w:rPr>
                <w:rFonts w:eastAsia="Segoe UI" w:cs="Segoe UI"/>
                <w:iCs w:val="0"/>
                <w:sz w:val="18"/>
                <w:szCs w:val="14"/>
              </w:rPr>
            </w:pPr>
            <w:r w:rsidRPr="00F97146">
              <w:rPr>
                <w:iCs w:val="0"/>
                <w:sz w:val="18"/>
                <w:szCs w:val="14"/>
                <w:lang w:val="fr-FR"/>
              </w:rPr>
              <w:t>1</w:t>
            </w:r>
          </w:p>
        </w:tc>
        <w:tc>
          <w:tcPr>
            <w:tcW w:w="1134" w:type="dxa"/>
            <w:tcBorders>
              <w:top w:val="single" w:sz="4" w:space="0" w:color="auto"/>
              <w:left w:val="single" w:sz="4" w:space="0" w:color="auto"/>
              <w:bottom w:val="single" w:sz="4" w:space="0" w:color="auto"/>
              <w:right w:val="single" w:sz="4" w:space="0" w:color="auto"/>
            </w:tcBorders>
          </w:tcPr>
          <w:p w14:paraId="660F454F" w14:textId="77777777" w:rsidR="00F26E61" w:rsidRPr="00F97146" w:rsidRDefault="00F26E61" w:rsidP="00407A8E">
            <w:pPr>
              <w:spacing w:line="276" w:lineRule="auto"/>
              <w:jc w:val="center"/>
              <w:rPr>
                <w:rFonts w:eastAsia="Segoe UI" w:cs="Segoe UI"/>
                <w:iCs w:val="0"/>
                <w:sz w:val="18"/>
                <w:szCs w:val="14"/>
              </w:rPr>
            </w:pPr>
            <w:r w:rsidRPr="00F97146">
              <w:rPr>
                <w:rFonts w:eastAsia="Segoe UI" w:cs="Segoe UI"/>
                <w:iCs w:val="0"/>
                <w:sz w:val="18"/>
                <w:szCs w:val="14"/>
              </w:rPr>
              <w:t>67</w:t>
            </w:r>
          </w:p>
        </w:tc>
        <w:tc>
          <w:tcPr>
            <w:tcW w:w="1134" w:type="dxa"/>
            <w:tcBorders>
              <w:top w:val="single" w:sz="4" w:space="0" w:color="auto"/>
              <w:left w:val="single" w:sz="4" w:space="0" w:color="auto"/>
              <w:bottom w:val="single" w:sz="4" w:space="0" w:color="auto"/>
              <w:right w:val="single" w:sz="4" w:space="0" w:color="auto"/>
            </w:tcBorders>
          </w:tcPr>
          <w:p w14:paraId="72E2D4DE" w14:textId="77777777" w:rsidR="00F26E61" w:rsidRPr="00F97146" w:rsidRDefault="00F26E61" w:rsidP="00407A8E">
            <w:pPr>
              <w:spacing w:line="276" w:lineRule="auto"/>
              <w:ind w:left="14"/>
              <w:jc w:val="center"/>
              <w:rPr>
                <w:rFonts w:eastAsia="Segoe UI" w:cs="Segoe UI"/>
                <w:iCs w:val="0"/>
                <w:sz w:val="18"/>
                <w:szCs w:val="14"/>
              </w:rPr>
            </w:pPr>
            <w:r w:rsidRPr="00F97146">
              <w:rPr>
                <w:rFonts w:eastAsia="Segoe UI" w:cs="Segoe UI"/>
                <w:iCs w:val="0"/>
                <w:sz w:val="18"/>
                <w:szCs w:val="14"/>
              </w:rPr>
              <w:t>b</w:t>
            </w:r>
          </w:p>
        </w:tc>
        <w:tc>
          <w:tcPr>
            <w:tcW w:w="4840" w:type="dxa"/>
            <w:tcBorders>
              <w:top w:val="single" w:sz="4" w:space="0" w:color="auto"/>
              <w:left w:val="single" w:sz="4" w:space="0" w:color="auto"/>
              <w:bottom w:val="single" w:sz="4" w:space="0" w:color="auto"/>
              <w:right w:val="single" w:sz="4" w:space="0" w:color="auto"/>
            </w:tcBorders>
          </w:tcPr>
          <w:p w14:paraId="030D3B71" w14:textId="77777777" w:rsidR="00F26E61" w:rsidRPr="00F97146" w:rsidRDefault="00F26E61" w:rsidP="00407A8E">
            <w:pPr>
              <w:rPr>
                <w:rFonts w:eastAsia="Segoe UI" w:cs="Segoe UI"/>
                <w:iCs w:val="0"/>
                <w:sz w:val="18"/>
                <w:szCs w:val="14"/>
                <w:lang w:val="en-US"/>
              </w:rPr>
            </w:pPr>
            <w:r w:rsidRPr="00F97146">
              <w:rPr>
                <w:rFonts w:eastAsia="Segoe UI" w:cs="Segoe UI"/>
                <w:iCs w:val="0"/>
                <w:sz w:val="18"/>
                <w:szCs w:val="14"/>
                <w:lang w:val="en-US"/>
              </w:rPr>
              <w:t>For class III devices or class IIb implantable devices, other than well-established technology devices, the NB shall review the PSUR during the surveillance assessment. The manufacturer and the NB shall make such PSURs and the evaluation by the NB available to competent authorities through the electronic system referred to in Art 92.</w:t>
            </w:r>
          </w:p>
          <w:p w14:paraId="2DAE1C05" w14:textId="77777777" w:rsidR="00F26E61" w:rsidRPr="00F97146" w:rsidRDefault="00F26E61" w:rsidP="00407A8E">
            <w:pPr>
              <w:rPr>
                <w:rFonts w:eastAsia="Segoe UI" w:cs="Segoe UI"/>
                <w:b/>
                <w:bCs/>
                <w:iCs w:val="0"/>
                <w:sz w:val="18"/>
                <w:szCs w:val="14"/>
                <w:lang w:val="en-US"/>
              </w:rPr>
            </w:pPr>
          </w:p>
          <w:p w14:paraId="0B75A79D" w14:textId="77777777" w:rsidR="00F26E61" w:rsidRPr="00F97146" w:rsidRDefault="00F26E61" w:rsidP="00407A8E">
            <w:pPr>
              <w:rPr>
                <w:rFonts w:eastAsia="Segoe UI" w:cs="Segoe UI"/>
                <w:iCs w:val="0"/>
                <w:sz w:val="18"/>
                <w:szCs w:val="14"/>
                <w:lang w:val="en-US"/>
              </w:rPr>
            </w:pPr>
            <w:r w:rsidRPr="00F97146">
              <w:rPr>
                <w:rFonts w:eastAsia="Segoe UI" w:cs="Segoe UI"/>
                <w:iCs w:val="0"/>
                <w:sz w:val="18"/>
                <w:szCs w:val="14"/>
                <w:lang w:val="en-US"/>
              </w:rPr>
              <w:t>It shall be clarified that by which qualified role, auditor or product reviewer, the PSUR assessment is meant to be conducted.</w:t>
            </w:r>
          </w:p>
          <w:p w14:paraId="3BABFA91" w14:textId="77777777" w:rsidR="00F26E61" w:rsidRPr="00F97146" w:rsidRDefault="00F26E61" w:rsidP="00407A8E">
            <w:pPr>
              <w:rPr>
                <w:rFonts w:eastAsia="Segoe UI" w:cs="Segoe UI"/>
                <w:iCs w:val="0"/>
                <w:sz w:val="18"/>
                <w:szCs w:val="14"/>
              </w:rPr>
            </w:pPr>
          </w:p>
          <w:p w14:paraId="4FB85FEC" w14:textId="77777777" w:rsidR="00F26E61" w:rsidRPr="00F97146" w:rsidRDefault="00F26E61" w:rsidP="00407A8E">
            <w:pPr>
              <w:rPr>
                <w:rFonts w:eastAsia="Segoe UI" w:cs="Segoe UI"/>
                <w:iCs w:val="0"/>
                <w:sz w:val="18"/>
                <w:szCs w:val="14"/>
              </w:rPr>
            </w:pPr>
            <w:r w:rsidRPr="00F97146">
              <w:rPr>
                <w:rFonts w:eastAsia="Segoe UI" w:cs="Segoe UI"/>
                <w:iCs w:val="0"/>
                <w:sz w:val="18"/>
                <w:szCs w:val="14"/>
              </w:rPr>
              <w:lastRenderedPageBreak/>
              <w:t>In case the proposal means to eliminate standalone PSUR reviews by product reviewers in exchange of conducted the review during surveillance audits by auditors: this proposal increases pressure on auditors to assess PSURs during audits. They are unlikely to have sufficient time to compare them with previous PSURs and the state of the art for complaint and vigilance rates. Further the qualification of auditors is technology related and not product related.</w:t>
            </w:r>
          </w:p>
          <w:p w14:paraId="6F44B301" w14:textId="77777777" w:rsidR="00F26E61" w:rsidRPr="00F97146" w:rsidRDefault="00F26E61" w:rsidP="00407A8E">
            <w:pPr>
              <w:rPr>
                <w:rFonts w:eastAsia="Segoe UI" w:cs="Segoe UI"/>
                <w:iCs w:val="0"/>
                <w:sz w:val="18"/>
                <w:szCs w:val="14"/>
              </w:rPr>
            </w:pPr>
            <w:r w:rsidRPr="00F97146">
              <w:rPr>
                <w:rFonts w:eastAsia="Segoe UI" w:cs="Segoe UI"/>
                <w:iCs w:val="0"/>
                <w:sz w:val="18"/>
                <w:szCs w:val="14"/>
              </w:rPr>
              <w:t xml:space="preserve">Please clarify that </w:t>
            </w:r>
            <w:r w:rsidRPr="00F97146">
              <w:rPr>
                <w:rFonts w:eastAsia="Segoe UI" w:cs="Segoe UI"/>
                <w:iCs w:val="0"/>
                <w:sz w:val="18"/>
                <w:szCs w:val="14"/>
                <w:lang w:val="en-US"/>
              </w:rPr>
              <w:t>during the surveillance assessment</w:t>
            </w:r>
            <w:r w:rsidRPr="00F97146">
              <w:rPr>
                <w:rFonts w:eastAsia="Segoe UI" w:cs="Segoe UI"/>
                <w:iCs w:val="0"/>
                <w:sz w:val="18"/>
                <w:szCs w:val="14"/>
              </w:rPr>
              <w:t>, it is meant that the PSUR review shall be done in the context of the surveillance the audit conduction, but not necessarily onsite by the auditor. The review shall be done by a product reviewer, either onsite or offsite.</w:t>
            </w:r>
          </w:p>
          <w:p w14:paraId="39941823" w14:textId="77777777" w:rsidR="00F26E61" w:rsidRPr="00F97146" w:rsidRDefault="00F26E61" w:rsidP="00407A8E">
            <w:pPr>
              <w:rPr>
                <w:rFonts w:eastAsia="Segoe UI" w:cs="Segoe UI"/>
                <w:iCs w:val="0"/>
                <w:sz w:val="18"/>
                <w:szCs w:val="14"/>
              </w:rPr>
            </w:pPr>
          </w:p>
          <w:p w14:paraId="016ECA6A" w14:textId="77777777" w:rsidR="00F26E61" w:rsidRPr="00F97146" w:rsidRDefault="00F26E61" w:rsidP="00407A8E">
            <w:pPr>
              <w:rPr>
                <w:rFonts w:eastAsia="Segoe UI" w:cs="Segoe UI"/>
                <w:iCs w:val="0"/>
                <w:sz w:val="18"/>
                <w:szCs w:val="14"/>
              </w:rPr>
            </w:pPr>
            <w:r w:rsidRPr="00F97146">
              <w:rPr>
                <w:rFonts w:eastAsia="Segoe UI" w:cs="Segoe UI"/>
                <w:iCs w:val="0"/>
                <w:sz w:val="18"/>
                <w:szCs w:val="14"/>
              </w:rPr>
              <w:t xml:space="preserve">Further, clear timeframes need to be given to harmonize the approach across the </w:t>
            </w:r>
            <w:proofErr w:type="spellStart"/>
            <w:r w:rsidRPr="00F97146">
              <w:rPr>
                <w:rFonts w:eastAsia="Segoe UI" w:cs="Segoe UI"/>
                <w:iCs w:val="0"/>
                <w:sz w:val="18"/>
                <w:szCs w:val="14"/>
              </w:rPr>
              <w:t>mfr</w:t>
            </w:r>
            <w:proofErr w:type="spellEnd"/>
            <w:r w:rsidRPr="00F97146">
              <w:rPr>
                <w:rFonts w:eastAsia="Segoe UI" w:cs="Segoe UI"/>
                <w:iCs w:val="0"/>
                <w:sz w:val="18"/>
                <w:szCs w:val="14"/>
              </w:rPr>
              <w:t xml:space="preserve"> and NBs, as for the first surveillance audit after the</w:t>
            </w:r>
            <w:r w:rsidRPr="00F97146">
              <w:rPr>
                <w:rFonts w:eastAsia="Times New Roman" w:cs="Segoe UI"/>
                <w:iCs w:val="0"/>
                <w:sz w:val="18"/>
                <w:szCs w:val="14"/>
              </w:rPr>
              <w:t xml:space="preserve"> </w:t>
            </w:r>
            <w:r w:rsidRPr="00F97146">
              <w:rPr>
                <w:rFonts w:eastAsia="Segoe UI" w:cs="Segoe UI"/>
                <w:iCs w:val="0"/>
                <w:sz w:val="18"/>
                <w:szCs w:val="14"/>
              </w:rPr>
              <w:t>certification most likely no PSUR reviews can be conducted, as the PSUR data collection period is due after 12 months after the certification plus approximately 60-90 days for report preparation.</w:t>
            </w:r>
          </w:p>
          <w:p w14:paraId="1257F3DE" w14:textId="77777777" w:rsidR="00F26E61" w:rsidRPr="00F97146" w:rsidRDefault="00F26E61" w:rsidP="00407A8E">
            <w:pPr>
              <w:rPr>
                <w:rFonts w:eastAsia="Segoe UI" w:cs="Segoe UI"/>
                <w:iCs w:val="0"/>
                <w:sz w:val="18"/>
                <w:szCs w:val="14"/>
                <w:lang w:val="en-US"/>
              </w:rPr>
            </w:pPr>
            <w:r w:rsidRPr="00F97146">
              <w:rPr>
                <w:rFonts w:eastAsia="Segoe UI" w:cs="Segoe UI"/>
                <w:iCs w:val="0"/>
                <w:sz w:val="18"/>
                <w:szCs w:val="14"/>
              </w:rPr>
              <w:t>Therefore, f</w:t>
            </w:r>
            <w:r w:rsidRPr="00F97146">
              <w:rPr>
                <w:rFonts w:eastAsia="Segoe UI" w:cs="Segoe UI"/>
                <w:iCs w:val="0"/>
                <w:sz w:val="18"/>
                <w:szCs w:val="14"/>
                <w:lang w:val="en-US"/>
              </w:rPr>
              <w:t>or the first surveillance we propose that the data collection period shall be less than the exact 12 months to be able to combine it with the surveillance activities, or alternatively the audit shall be planned at the outer limit of the maximum allowed time window (see MDCG below*).</w:t>
            </w:r>
          </w:p>
          <w:p w14:paraId="53333755" w14:textId="77777777" w:rsidR="00F26E61" w:rsidRPr="00F97146" w:rsidRDefault="00F26E61" w:rsidP="00407A8E">
            <w:pPr>
              <w:rPr>
                <w:rFonts w:eastAsia="Segoe UI" w:cs="Segoe UI"/>
                <w:iCs w:val="0"/>
                <w:sz w:val="18"/>
                <w:szCs w:val="14"/>
                <w:lang w:val="en-US"/>
              </w:rPr>
            </w:pPr>
          </w:p>
          <w:p w14:paraId="6EDE993F" w14:textId="77777777" w:rsidR="00F26E61" w:rsidRPr="00F97146" w:rsidRDefault="00F26E61" w:rsidP="00407A8E">
            <w:pPr>
              <w:rPr>
                <w:rFonts w:eastAsia="Segoe UI" w:cs="Segoe UI"/>
                <w:iCs w:val="0"/>
                <w:sz w:val="18"/>
                <w:szCs w:val="14"/>
                <w:lang w:val="en-US"/>
              </w:rPr>
            </w:pPr>
            <w:r w:rsidRPr="00F97146">
              <w:rPr>
                <w:rFonts w:eastAsia="Segoe UI" w:cs="Segoe UI"/>
                <w:iCs w:val="0"/>
                <w:sz w:val="18"/>
                <w:szCs w:val="14"/>
                <w:lang w:val="en-US"/>
              </w:rPr>
              <w:t>*MDCG 2019-6, IV.10:</w:t>
            </w:r>
          </w:p>
          <w:p w14:paraId="6CA9F47A" w14:textId="77777777" w:rsidR="00F26E61" w:rsidRPr="00F97146" w:rsidRDefault="00F26E61" w:rsidP="00407A8E">
            <w:pPr>
              <w:spacing w:before="60"/>
              <w:rPr>
                <w:rFonts w:eastAsia="Segoe UI" w:cs="Segoe UI"/>
                <w:iCs w:val="0"/>
                <w:sz w:val="18"/>
                <w:szCs w:val="14"/>
              </w:rPr>
            </w:pPr>
            <w:r w:rsidRPr="00F97146">
              <w:rPr>
                <w:rFonts w:eastAsia="Segoe UI" w:cs="Segoe UI"/>
                <w:iCs w:val="0"/>
                <w:sz w:val="18"/>
                <w:szCs w:val="14"/>
                <w:lang w:val="en-US"/>
              </w:rPr>
              <w:t xml:space="preserve">In order to take in consideration, the necessity for contingent scheduling adjustments, surveillance audits can be </w:t>
            </w:r>
            <w:r w:rsidRPr="00F97146">
              <w:rPr>
                <w:rFonts w:eastAsia="Segoe UI" w:cs="Segoe UI"/>
                <w:iCs w:val="0"/>
                <w:sz w:val="18"/>
                <w:szCs w:val="14"/>
                <w:lang w:val="en-US"/>
              </w:rPr>
              <w:lastRenderedPageBreak/>
              <w:t>conducted w</w:t>
            </w:r>
            <w:r w:rsidRPr="00F97146">
              <w:rPr>
                <w:rFonts w:eastAsia="Segoe UI" w:cs="Segoe UI"/>
                <w:b/>
                <w:bCs/>
                <w:iCs w:val="0"/>
                <w:sz w:val="18"/>
                <w:szCs w:val="14"/>
                <w:u w:val="single"/>
                <w:lang w:val="en-US"/>
              </w:rPr>
              <w:t>ithin a limited window of +/- three months</w:t>
            </w:r>
            <w:r w:rsidRPr="00F97146">
              <w:rPr>
                <w:rFonts w:eastAsia="Segoe UI" w:cs="Segoe UI"/>
                <w:iCs w:val="0"/>
                <w:sz w:val="18"/>
                <w:szCs w:val="14"/>
                <w:lang w:val="en-US"/>
              </w:rPr>
              <w:t xml:space="preserve"> from the due date without particular concern.</w:t>
            </w:r>
          </w:p>
        </w:tc>
        <w:tc>
          <w:tcPr>
            <w:tcW w:w="5528" w:type="dxa"/>
            <w:tcBorders>
              <w:top w:val="single" w:sz="4" w:space="0" w:color="auto"/>
              <w:left w:val="single" w:sz="4" w:space="0" w:color="auto"/>
              <w:bottom w:val="single" w:sz="4" w:space="0" w:color="auto"/>
              <w:right w:val="single" w:sz="4" w:space="0" w:color="auto"/>
            </w:tcBorders>
          </w:tcPr>
          <w:p w14:paraId="4F14F06B" w14:textId="77777777" w:rsidR="00F26E61" w:rsidRPr="00F97146" w:rsidRDefault="00F26E61" w:rsidP="00407A8E">
            <w:pPr>
              <w:spacing w:before="60"/>
              <w:rPr>
                <w:rFonts w:eastAsia="Segoe UI" w:cs="Segoe UI"/>
                <w:iCs w:val="0"/>
                <w:sz w:val="18"/>
                <w:szCs w:val="14"/>
              </w:rPr>
            </w:pPr>
            <w:r w:rsidRPr="00F97146">
              <w:rPr>
                <w:rFonts w:eastAsia="Segoe UI" w:cs="Segoe UI"/>
                <w:iCs w:val="0"/>
                <w:sz w:val="18"/>
                <w:szCs w:val="14"/>
              </w:rPr>
              <w:lastRenderedPageBreak/>
              <w:t>Team NB proposed text:</w:t>
            </w:r>
          </w:p>
          <w:p w14:paraId="71581BB3" w14:textId="77777777" w:rsidR="00F26E61" w:rsidRPr="00E16453" w:rsidRDefault="00F26E61" w:rsidP="00407A8E">
            <w:pPr>
              <w:spacing w:before="60"/>
              <w:rPr>
                <w:rFonts w:eastAsia="Segoe UI" w:cs="Segoe UI"/>
                <w:iCs w:val="0"/>
                <w:sz w:val="18"/>
                <w:szCs w:val="14"/>
              </w:rPr>
            </w:pPr>
            <w:r w:rsidRPr="00E16453">
              <w:rPr>
                <w:rFonts w:eastAsia="Segoe UI" w:cs="Segoe UI"/>
                <w:iCs w:val="0"/>
                <w:sz w:val="18"/>
                <w:szCs w:val="14"/>
              </w:rPr>
              <w:t>“PSUR review by the notified body shall enable an independent benefit–risk assessment and shall not be reduced to an incidental audit activity where this would prevent sufficient depth of review.”</w:t>
            </w:r>
          </w:p>
          <w:p w14:paraId="5C2B9245" w14:textId="77777777" w:rsidR="00F26E61" w:rsidRPr="00F97146" w:rsidRDefault="00F26E61" w:rsidP="00407A8E">
            <w:pPr>
              <w:spacing w:before="60"/>
              <w:rPr>
                <w:rFonts w:eastAsia="Segoe UI" w:cs="Segoe UI"/>
                <w:iCs w:val="0"/>
                <w:sz w:val="18"/>
                <w:szCs w:val="14"/>
              </w:rPr>
            </w:pPr>
          </w:p>
        </w:tc>
      </w:tr>
      <w:tr w:rsidR="00F26E61" w:rsidRPr="00F97146" w14:paraId="181AD3AC" w14:textId="77777777" w:rsidTr="0022597C">
        <w:tc>
          <w:tcPr>
            <w:tcW w:w="568" w:type="dxa"/>
          </w:tcPr>
          <w:p w14:paraId="5B51213A" w14:textId="77777777" w:rsidR="00F26E61" w:rsidRPr="00F97146" w:rsidRDefault="00F26E61" w:rsidP="00407A8E">
            <w:pPr>
              <w:spacing w:line="276" w:lineRule="auto"/>
              <w:ind w:left="-48" w:firstLine="6"/>
              <w:jc w:val="center"/>
              <w:rPr>
                <w:rFonts w:eastAsia="Segoe UI" w:cs="Segoe UI"/>
                <w:iCs w:val="0"/>
                <w:sz w:val="18"/>
                <w:szCs w:val="14"/>
              </w:rPr>
            </w:pPr>
            <w:r w:rsidRPr="00F97146">
              <w:rPr>
                <w:rFonts w:eastAsia="Segoe UI" w:cs="Segoe UI"/>
                <w:iCs w:val="0"/>
                <w:sz w:val="18"/>
                <w:szCs w:val="14"/>
              </w:rPr>
              <w:lastRenderedPageBreak/>
              <w:t>36</w:t>
            </w:r>
          </w:p>
        </w:tc>
        <w:tc>
          <w:tcPr>
            <w:tcW w:w="1134" w:type="dxa"/>
            <w:tcBorders>
              <w:top w:val="single" w:sz="4" w:space="0" w:color="auto"/>
              <w:left w:val="single" w:sz="4" w:space="0" w:color="auto"/>
              <w:bottom w:val="single" w:sz="4" w:space="0" w:color="auto"/>
              <w:right w:val="single" w:sz="4" w:space="0" w:color="auto"/>
            </w:tcBorders>
          </w:tcPr>
          <w:p w14:paraId="52749758" w14:textId="77777777" w:rsidR="00F26E61" w:rsidRPr="00F97146" w:rsidRDefault="00F26E61" w:rsidP="00407A8E">
            <w:pPr>
              <w:spacing w:line="276" w:lineRule="auto"/>
              <w:ind w:left="-48" w:firstLine="6"/>
              <w:jc w:val="center"/>
              <w:rPr>
                <w:rFonts w:eastAsia="Segoe UI" w:cs="Segoe UI"/>
                <w:iCs w:val="0"/>
                <w:sz w:val="18"/>
                <w:szCs w:val="14"/>
              </w:rPr>
            </w:pPr>
            <w:r w:rsidRPr="00F97146">
              <w:rPr>
                <w:rFonts w:eastAsia="Segoe UI" w:cs="Segoe UI"/>
                <w:iCs w:val="0"/>
                <w:sz w:val="18"/>
                <w:szCs w:val="14"/>
              </w:rPr>
              <w:t>77, 118</w:t>
            </w:r>
          </w:p>
        </w:tc>
        <w:tc>
          <w:tcPr>
            <w:tcW w:w="1114" w:type="dxa"/>
            <w:tcBorders>
              <w:top w:val="single" w:sz="4" w:space="0" w:color="auto"/>
              <w:left w:val="single" w:sz="4" w:space="0" w:color="auto"/>
              <w:bottom w:val="single" w:sz="4" w:space="0" w:color="auto"/>
              <w:right w:val="single" w:sz="4" w:space="0" w:color="auto"/>
            </w:tcBorders>
          </w:tcPr>
          <w:p w14:paraId="5DDEECAC" w14:textId="77777777" w:rsidR="00F26E61" w:rsidRPr="00F97146" w:rsidRDefault="00F26E61" w:rsidP="00407A8E">
            <w:pPr>
              <w:spacing w:line="276" w:lineRule="auto"/>
              <w:ind w:left="75"/>
              <w:jc w:val="center"/>
              <w:rPr>
                <w:rFonts w:eastAsia="Segoe UI" w:cs="Segoe UI"/>
                <w:iCs w:val="0"/>
                <w:sz w:val="18"/>
                <w:szCs w:val="14"/>
              </w:rPr>
            </w:pPr>
            <w:r w:rsidRPr="00F97146">
              <w:rPr>
                <w:iCs w:val="0"/>
                <w:sz w:val="18"/>
                <w:szCs w:val="14"/>
                <w:lang w:val="fr-FR"/>
              </w:rPr>
              <w:t>MDR: 1</w:t>
            </w:r>
          </w:p>
          <w:p w14:paraId="4C2A7D4B" w14:textId="77777777" w:rsidR="00F26E61" w:rsidRPr="00F97146" w:rsidRDefault="00F26E61" w:rsidP="00407A8E">
            <w:pPr>
              <w:spacing w:line="276" w:lineRule="auto"/>
              <w:ind w:left="75"/>
              <w:jc w:val="center"/>
              <w:rPr>
                <w:rFonts w:eastAsia="Segoe UI" w:cs="Segoe UI"/>
                <w:iCs w:val="0"/>
                <w:sz w:val="18"/>
                <w:szCs w:val="14"/>
              </w:rPr>
            </w:pPr>
            <w:r w:rsidRPr="00F97146">
              <w:rPr>
                <w:rFonts w:eastAsia="Segoe UI" w:cs="Segoe UI"/>
                <w:iCs w:val="0"/>
                <w:sz w:val="18"/>
                <w:szCs w:val="14"/>
              </w:rPr>
              <w:t>IVDR: 2</w:t>
            </w:r>
          </w:p>
        </w:tc>
        <w:tc>
          <w:tcPr>
            <w:tcW w:w="1134" w:type="dxa"/>
            <w:tcBorders>
              <w:top w:val="single" w:sz="4" w:space="0" w:color="auto"/>
              <w:left w:val="single" w:sz="4" w:space="0" w:color="auto"/>
              <w:bottom w:val="single" w:sz="4" w:space="0" w:color="auto"/>
              <w:right w:val="single" w:sz="4" w:space="0" w:color="auto"/>
            </w:tcBorders>
          </w:tcPr>
          <w:p w14:paraId="151574EC" w14:textId="77777777" w:rsidR="00F26E61" w:rsidRPr="00F97146" w:rsidRDefault="00F26E61" w:rsidP="00407A8E">
            <w:pPr>
              <w:spacing w:line="276" w:lineRule="auto"/>
              <w:jc w:val="center"/>
              <w:rPr>
                <w:rFonts w:eastAsia="Segoe UI" w:cs="Segoe UI"/>
                <w:iCs w:val="0"/>
                <w:sz w:val="18"/>
                <w:szCs w:val="14"/>
              </w:rPr>
            </w:pPr>
            <w:r w:rsidRPr="00F97146">
              <w:rPr>
                <w:rFonts w:eastAsia="Segoe UI" w:cs="Segoe UI"/>
                <w:iCs w:val="0"/>
                <w:sz w:val="18"/>
                <w:szCs w:val="14"/>
              </w:rPr>
              <w:t>MDR: 68</w:t>
            </w:r>
          </w:p>
          <w:p w14:paraId="733350EE" w14:textId="77777777" w:rsidR="00F26E61" w:rsidRPr="00F97146" w:rsidRDefault="00F26E61" w:rsidP="00407A8E">
            <w:pPr>
              <w:spacing w:line="276" w:lineRule="auto"/>
              <w:jc w:val="center"/>
              <w:rPr>
                <w:rFonts w:eastAsia="Segoe UI" w:cs="Segoe UI"/>
                <w:iCs w:val="0"/>
                <w:sz w:val="18"/>
                <w:szCs w:val="14"/>
              </w:rPr>
            </w:pPr>
            <w:r w:rsidRPr="00F97146">
              <w:rPr>
                <w:rFonts w:eastAsia="Segoe UI" w:cs="Segoe UI"/>
                <w:iCs w:val="0"/>
                <w:sz w:val="18"/>
                <w:szCs w:val="14"/>
              </w:rPr>
              <w:t>IVDR: 54</w:t>
            </w:r>
          </w:p>
        </w:tc>
        <w:tc>
          <w:tcPr>
            <w:tcW w:w="1134" w:type="dxa"/>
            <w:tcBorders>
              <w:top w:val="single" w:sz="4" w:space="0" w:color="auto"/>
              <w:left w:val="single" w:sz="4" w:space="0" w:color="auto"/>
              <w:bottom w:val="single" w:sz="4" w:space="0" w:color="auto"/>
              <w:right w:val="single" w:sz="4" w:space="0" w:color="auto"/>
            </w:tcBorders>
          </w:tcPr>
          <w:p w14:paraId="12B4BA71" w14:textId="77777777" w:rsidR="00F26E61" w:rsidRPr="00F97146" w:rsidRDefault="00F26E61" w:rsidP="00407A8E">
            <w:pPr>
              <w:spacing w:line="276" w:lineRule="auto"/>
              <w:ind w:left="14"/>
              <w:jc w:val="center"/>
              <w:rPr>
                <w:rFonts w:eastAsia="Segoe UI" w:cs="Segoe UI"/>
                <w:iCs w:val="0"/>
                <w:sz w:val="18"/>
                <w:szCs w:val="14"/>
              </w:rPr>
            </w:pPr>
            <w:r w:rsidRPr="00F97146">
              <w:rPr>
                <w:rFonts w:eastAsia="Segoe UI" w:cs="Segoe UI"/>
                <w:iCs w:val="0"/>
                <w:sz w:val="18"/>
                <w:szCs w:val="14"/>
              </w:rPr>
              <w:t>MDR: 68b</w:t>
            </w:r>
          </w:p>
          <w:p w14:paraId="3A613DD1" w14:textId="77777777" w:rsidR="00F26E61" w:rsidRPr="00F97146" w:rsidRDefault="00F26E61" w:rsidP="00407A8E">
            <w:pPr>
              <w:spacing w:line="276" w:lineRule="auto"/>
              <w:ind w:left="14"/>
              <w:jc w:val="center"/>
              <w:rPr>
                <w:rFonts w:eastAsia="Segoe UI" w:cs="Segoe UI"/>
                <w:iCs w:val="0"/>
                <w:sz w:val="18"/>
                <w:szCs w:val="14"/>
              </w:rPr>
            </w:pPr>
            <w:r w:rsidRPr="00F97146">
              <w:rPr>
                <w:rFonts w:eastAsia="Segoe UI" w:cs="Segoe UI"/>
                <w:iCs w:val="0"/>
                <w:sz w:val="18"/>
                <w:szCs w:val="14"/>
              </w:rPr>
              <w:t>IVDR: 54b</w:t>
            </w:r>
          </w:p>
        </w:tc>
        <w:tc>
          <w:tcPr>
            <w:tcW w:w="4840" w:type="dxa"/>
            <w:tcBorders>
              <w:top w:val="single" w:sz="4" w:space="0" w:color="auto"/>
              <w:left w:val="single" w:sz="4" w:space="0" w:color="auto"/>
              <w:bottom w:val="single" w:sz="4" w:space="0" w:color="auto"/>
              <w:right w:val="single" w:sz="4" w:space="0" w:color="auto"/>
            </w:tcBorders>
          </w:tcPr>
          <w:p w14:paraId="3F8D60AE" w14:textId="77777777" w:rsidR="00F26E61" w:rsidRPr="00F97146" w:rsidRDefault="00F26E61" w:rsidP="00407A8E">
            <w:pPr>
              <w:rPr>
                <w:rFonts w:eastAsia="Segoe UI" w:cs="Segoe UI"/>
                <w:iCs w:val="0"/>
                <w:sz w:val="18"/>
                <w:szCs w:val="14"/>
              </w:rPr>
            </w:pPr>
            <w:r w:rsidRPr="00F97146">
              <w:rPr>
                <w:rFonts w:eastAsia="Segoe UI" w:cs="Segoe UI"/>
                <w:iCs w:val="0"/>
                <w:sz w:val="18"/>
                <w:szCs w:val="14"/>
              </w:rPr>
              <w:t>Commission proposal:</w:t>
            </w:r>
          </w:p>
          <w:p w14:paraId="2DC2C050" w14:textId="77777777" w:rsidR="00F26E61" w:rsidRPr="00F97146" w:rsidRDefault="00F26E61" w:rsidP="00407A8E">
            <w:pPr>
              <w:rPr>
                <w:rFonts w:eastAsia="Segoe UI" w:cs="Segoe UI"/>
                <w:iCs w:val="0"/>
                <w:sz w:val="18"/>
                <w:szCs w:val="14"/>
                <w:lang w:val="en-US"/>
              </w:rPr>
            </w:pPr>
            <w:r w:rsidRPr="00F97146">
              <w:rPr>
                <w:rFonts w:eastAsia="Segoe UI" w:cs="Segoe UI"/>
                <w:i/>
                <w:sz w:val="18"/>
                <w:szCs w:val="14"/>
              </w:rPr>
              <w:t>“Manufacturers shall report any serious incident as referred to in paragraph 1, first subparagraph, point (a), immediately after they have established that there is a causal relationship between that incident and their device or that such causal relationship is reasonably possible, and not later than 30 days after they become aware of the incident.”</w:t>
            </w:r>
          </w:p>
        </w:tc>
        <w:tc>
          <w:tcPr>
            <w:tcW w:w="5528" w:type="dxa"/>
            <w:tcBorders>
              <w:top w:val="single" w:sz="4" w:space="0" w:color="auto"/>
              <w:left w:val="single" w:sz="4" w:space="0" w:color="auto"/>
              <w:bottom w:val="single" w:sz="4" w:space="0" w:color="auto"/>
              <w:right w:val="single" w:sz="4" w:space="0" w:color="auto"/>
            </w:tcBorders>
          </w:tcPr>
          <w:p w14:paraId="23589362" w14:textId="77777777" w:rsidR="00F26E61" w:rsidRPr="00F97146" w:rsidRDefault="00F26E61" w:rsidP="00407A8E">
            <w:pPr>
              <w:spacing w:before="60"/>
              <w:rPr>
                <w:rFonts w:eastAsia="Segoe UI" w:cs="Segoe UI"/>
                <w:iCs w:val="0"/>
                <w:sz w:val="18"/>
                <w:szCs w:val="14"/>
              </w:rPr>
            </w:pPr>
            <w:r w:rsidRPr="00F97146">
              <w:rPr>
                <w:rFonts w:eastAsia="Segoe UI" w:cs="Segoe UI"/>
                <w:iCs w:val="0"/>
                <w:sz w:val="18"/>
                <w:szCs w:val="14"/>
              </w:rPr>
              <w:t>The amendment would be acceptable if the current NB oversight (such as systematic initial and surveillance TD assessments, PSUR reviews) remain unchanged. If not, this would further cumulatively weaken the protection of patient safety.</w:t>
            </w:r>
          </w:p>
        </w:tc>
      </w:tr>
      <w:tr w:rsidR="00F26E61" w:rsidRPr="00F97146" w14:paraId="2F49E58E" w14:textId="77777777" w:rsidTr="0022597C">
        <w:tc>
          <w:tcPr>
            <w:tcW w:w="568" w:type="dxa"/>
          </w:tcPr>
          <w:p w14:paraId="58372262" w14:textId="77777777" w:rsidR="00F26E61" w:rsidRPr="00F97146" w:rsidRDefault="00F26E61" w:rsidP="00407A8E">
            <w:pPr>
              <w:spacing w:line="276" w:lineRule="auto"/>
              <w:ind w:left="-48" w:firstLine="6"/>
              <w:jc w:val="center"/>
              <w:rPr>
                <w:iCs w:val="0"/>
                <w:sz w:val="18"/>
                <w:szCs w:val="14"/>
                <w:lang w:val="en-US"/>
              </w:rPr>
            </w:pPr>
            <w:r w:rsidRPr="00F97146">
              <w:rPr>
                <w:iCs w:val="0"/>
                <w:sz w:val="18"/>
                <w:szCs w:val="14"/>
                <w:lang w:val="en-US"/>
              </w:rPr>
              <w:t>37</w:t>
            </w:r>
          </w:p>
        </w:tc>
        <w:tc>
          <w:tcPr>
            <w:tcW w:w="1134" w:type="dxa"/>
            <w:tcBorders>
              <w:top w:val="single" w:sz="4" w:space="0" w:color="auto"/>
              <w:left w:val="single" w:sz="4" w:space="0" w:color="auto"/>
              <w:bottom w:val="single" w:sz="4" w:space="0" w:color="auto"/>
              <w:right w:val="single" w:sz="4" w:space="0" w:color="auto"/>
            </w:tcBorders>
          </w:tcPr>
          <w:p w14:paraId="562EEC95" w14:textId="77777777" w:rsidR="00F26E61" w:rsidRPr="00F97146" w:rsidRDefault="00F26E61" w:rsidP="00407A8E">
            <w:pPr>
              <w:spacing w:line="276" w:lineRule="auto"/>
              <w:ind w:left="-48" w:firstLine="6"/>
              <w:jc w:val="center"/>
              <w:rPr>
                <w:iCs w:val="0"/>
                <w:sz w:val="18"/>
                <w:szCs w:val="14"/>
                <w:lang w:val="en-US"/>
              </w:rPr>
            </w:pPr>
            <w:r w:rsidRPr="00F97146">
              <w:rPr>
                <w:iCs w:val="0"/>
                <w:sz w:val="18"/>
                <w:szCs w:val="14"/>
                <w:lang w:val="en-US"/>
              </w:rPr>
              <w:t>80</w:t>
            </w:r>
          </w:p>
        </w:tc>
        <w:tc>
          <w:tcPr>
            <w:tcW w:w="1114" w:type="dxa"/>
            <w:tcBorders>
              <w:top w:val="single" w:sz="4" w:space="0" w:color="auto"/>
              <w:left w:val="single" w:sz="4" w:space="0" w:color="auto"/>
              <w:bottom w:val="single" w:sz="4" w:space="0" w:color="auto"/>
              <w:right w:val="single" w:sz="4" w:space="0" w:color="auto"/>
            </w:tcBorders>
          </w:tcPr>
          <w:p w14:paraId="6136E7F1" w14:textId="77777777" w:rsidR="00F26E61" w:rsidRPr="00F97146" w:rsidRDefault="00F26E61" w:rsidP="00407A8E">
            <w:pPr>
              <w:spacing w:line="276" w:lineRule="auto"/>
              <w:ind w:left="75"/>
              <w:jc w:val="center"/>
              <w:rPr>
                <w:iCs w:val="0"/>
                <w:sz w:val="18"/>
                <w:szCs w:val="14"/>
                <w:lang w:val="fr-FR"/>
              </w:rPr>
            </w:pPr>
            <w:r w:rsidRPr="00F97146">
              <w:rPr>
                <w:iCs w:val="0"/>
                <w:sz w:val="18"/>
                <w:szCs w:val="14"/>
                <w:lang w:val="fr-FR"/>
              </w:rPr>
              <w:t>1</w:t>
            </w:r>
          </w:p>
        </w:tc>
        <w:tc>
          <w:tcPr>
            <w:tcW w:w="1134" w:type="dxa"/>
            <w:tcBorders>
              <w:top w:val="single" w:sz="4" w:space="0" w:color="auto"/>
              <w:left w:val="single" w:sz="4" w:space="0" w:color="auto"/>
              <w:bottom w:val="single" w:sz="4" w:space="0" w:color="auto"/>
              <w:right w:val="single" w:sz="4" w:space="0" w:color="auto"/>
            </w:tcBorders>
          </w:tcPr>
          <w:p w14:paraId="126D0443" w14:textId="77777777" w:rsidR="00F26E61" w:rsidRPr="00F97146" w:rsidRDefault="00F26E61" w:rsidP="00407A8E">
            <w:pPr>
              <w:spacing w:line="276" w:lineRule="auto"/>
              <w:jc w:val="center"/>
              <w:rPr>
                <w:iCs w:val="0"/>
                <w:sz w:val="18"/>
                <w:szCs w:val="14"/>
                <w:lang w:val="en-US"/>
              </w:rPr>
            </w:pPr>
            <w:r w:rsidRPr="00F97146">
              <w:rPr>
                <w:iCs w:val="0"/>
                <w:sz w:val="18"/>
                <w:szCs w:val="14"/>
                <w:lang w:val="en-US"/>
              </w:rPr>
              <w:t>73</w:t>
            </w:r>
          </w:p>
        </w:tc>
        <w:tc>
          <w:tcPr>
            <w:tcW w:w="1134" w:type="dxa"/>
            <w:tcBorders>
              <w:top w:val="single" w:sz="4" w:space="0" w:color="auto"/>
              <w:left w:val="single" w:sz="4" w:space="0" w:color="auto"/>
              <w:bottom w:val="single" w:sz="4" w:space="0" w:color="auto"/>
              <w:right w:val="single" w:sz="4" w:space="0" w:color="auto"/>
            </w:tcBorders>
          </w:tcPr>
          <w:p w14:paraId="7B492D8B" w14:textId="77777777" w:rsidR="00F26E61" w:rsidRPr="00F97146" w:rsidRDefault="00F26E61" w:rsidP="00407A8E">
            <w:pPr>
              <w:spacing w:line="276" w:lineRule="auto"/>
              <w:ind w:left="14"/>
              <w:jc w:val="center"/>
              <w:rPr>
                <w:iCs w:val="0"/>
                <w:sz w:val="18"/>
                <w:szCs w:val="14"/>
                <w:lang w:val="en-US"/>
              </w:rPr>
            </w:pPr>
          </w:p>
        </w:tc>
        <w:tc>
          <w:tcPr>
            <w:tcW w:w="4840" w:type="dxa"/>
            <w:tcBorders>
              <w:top w:val="single" w:sz="4" w:space="0" w:color="auto"/>
              <w:left w:val="single" w:sz="4" w:space="0" w:color="auto"/>
              <w:bottom w:val="single" w:sz="4" w:space="0" w:color="auto"/>
              <w:right w:val="single" w:sz="4" w:space="0" w:color="auto"/>
            </w:tcBorders>
          </w:tcPr>
          <w:p w14:paraId="416517F8" w14:textId="77777777" w:rsidR="00F26E61" w:rsidRPr="00AD5B02" w:rsidRDefault="00F26E61" w:rsidP="00407A8E">
            <w:pPr>
              <w:spacing w:line="276" w:lineRule="auto"/>
              <w:rPr>
                <w:bCs/>
                <w:iCs w:val="0"/>
                <w:sz w:val="18"/>
                <w:szCs w:val="14"/>
              </w:rPr>
            </w:pPr>
            <w:r w:rsidRPr="00AD5B02">
              <w:rPr>
                <w:bCs/>
                <w:iCs w:val="0"/>
                <w:sz w:val="18"/>
                <w:szCs w:val="14"/>
              </w:rPr>
              <w:t>Notified bodies’ tasks under Articles</w:t>
            </w:r>
            <w:r w:rsidRPr="00AD5B02">
              <w:rPr>
                <w:rFonts w:ascii="Arial" w:hAnsi="Arial" w:cs="Arial"/>
                <w:bCs/>
                <w:iCs w:val="0"/>
                <w:sz w:val="18"/>
                <w:szCs w:val="14"/>
              </w:rPr>
              <w:t> </w:t>
            </w:r>
            <w:r w:rsidRPr="00AD5B02">
              <w:rPr>
                <w:bCs/>
                <w:iCs w:val="0"/>
                <w:sz w:val="18"/>
                <w:szCs w:val="14"/>
              </w:rPr>
              <w:t>83</w:t>
            </w:r>
            <w:r w:rsidRPr="00AD5B02">
              <w:rPr>
                <w:rFonts w:cs="Aptos"/>
                <w:bCs/>
                <w:iCs w:val="0"/>
                <w:sz w:val="18"/>
                <w:szCs w:val="14"/>
              </w:rPr>
              <w:t>–</w:t>
            </w:r>
            <w:r w:rsidRPr="00AD5B02">
              <w:rPr>
                <w:bCs/>
                <w:iCs w:val="0"/>
                <w:sz w:val="18"/>
                <w:szCs w:val="14"/>
              </w:rPr>
              <w:t>86 MDR, Annex</w:t>
            </w:r>
            <w:r w:rsidRPr="00AD5B02">
              <w:rPr>
                <w:rFonts w:ascii="Arial" w:hAnsi="Arial" w:cs="Arial"/>
                <w:bCs/>
                <w:iCs w:val="0"/>
                <w:sz w:val="18"/>
                <w:szCs w:val="14"/>
              </w:rPr>
              <w:t> </w:t>
            </w:r>
            <w:r w:rsidRPr="00AD5B02">
              <w:rPr>
                <w:bCs/>
                <w:iCs w:val="0"/>
                <w:sz w:val="18"/>
                <w:szCs w:val="14"/>
              </w:rPr>
              <w:t>III and Annex</w:t>
            </w:r>
            <w:r w:rsidRPr="00AD5B02">
              <w:rPr>
                <w:rFonts w:ascii="Arial" w:hAnsi="Arial" w:cs="Arial"/>
                <w:bCs/>
                <w:iCs w:val="0"/>
                <w:sz w:val="18"/>
                <w:szCs w:val="14"/>
              </w:rPr>
              <w:t> </w:t>
            </w:r>
            <w:r w:rsidRPr="00AD5B02">
              <w:rPr>
                <w:bCs/>
                <w:iCs w:val="0"/>
                <w:sz w:val="18"/>
                <w:szCs w:val="14"/>
              </w:rPr>
              <w:t>IX require independent and timely access to post</w:t>
            </w:r>
            <w:r w:rsidRPr="00AD5B02">
              <w:rPr>
                <w:rFonts w:ascii="Cambria Math" w:hAnsi="Cambria Math" w:cs="Cambria Math"/>
                <w:bCs/>
                <w:iCs w:val="0"/>
                <w:sz w:val="18"/>
                <w:szCs w:val="14"/>
              </w:rPr>
              <w:t>‑</w:t>
            </w:r>
            <w:r w:rsidRPr="00AD5B02">
              <w:rPr>
                <w:bCs/>
                <w:iCs w:val="0"/>
                <w:sz w:val="18"/>
                <w:szCs w:val="14"/>
              </w:rPr>
              <w:t>market surveillance, vigilance and PSUR data.</w:t>
            </w:r>
          </w:p>
          <w:p w14:paraId="5E556347" w14:textId="77777777" w:rsidR="00F26E61" w:rsidRPr="00AD5B02" w:rsidRDefault="00F26E61" w:rsidP="00407A8E">
            <w:pPr>
              <w:spacing w:line="276" w:lineRule="auto"/>
              <w:rPr>
                <w:bCs/>
                <w:iCs w:val="0"/>
                <w:sz w:val="18"/>
                <w:szCs w:val="14"/>
              </w:rPr>
            </w:pPr>
            <w:r w:rsidRPr="00AD5B02">
              <w:rPr>
                <w:bCs/>
                <w:iCs w:val="0"/>
                <w:sz w:val="18"/>
                <w:szCs w:val="14"/>
              </w:rPr>
              <w:t>Without direct access to EUDAMED, notified bodies cannot effectively perform surveillance, benefit–risk assessment, trend analysis, for</w:t>
            </w:r>
            <w:r w:rsidRPr="00AD5B02">
              <w:rPr>
                <w:rFonts w:ascii="Cambria Math" w:hAnsi="Cambria Math" w:cs="Cambria Math"/>
                <w:bCs/>
                <w:iCs w:val="0"/>
                <w:sz w:val="18"/>
                <w:szCs w:val="14"/>
              </w:rPr>
              <w:t>‑</w:t>
            </w:r>
            <w:r w:rsidRPr="00AD5B02">
              <w:rPr>
                <w:bCs/>
                <w:iCs w:val="0"/>
                <w:sz w:val="18"/>
                <w:szCs w:val="14"/>
              </w:rPr>
              <w:t>cause evaluations or periodic reviews of continued conformity.</w:t>
            </w:r>
          </w:p>
          <w:p w14:paraId="0CCE8100" w14:textId="77777777" w:rsidR="00F26E61" w:rsidRPr="00F97146" w:rsidRDefault="00F26E61" w:rsidP="00407A8E">
            <w:pPr>
              <w:spacing w:line="276" w:lineRule="auto"/>
              <w:rPr>
                <w:bCs/>
                <w:iCs w:val="0"/>
                <w:sz w:val="18"/>
                <w:szCs w:val="14"/>
              </w:rPr>
            </w:pPr>
            <w:r w:rsidRPr="00AD5B02">
              <w:rPr>
                <w:bCs/>
                <w:iCs w:val="0"/>
                <w:sz w:val="18"/>
                <w:szCs w:val="14"/>
              </w:rPr>
              <w:t>In light of the increased reliance on post</w:t>
            </w:r>
            <w:r w:rsidRPr="00AD5B02">
              <w:rPr>
                <w:rFonts w:ascii="Cambria Math" w:hAnsi="Cambria Math" w:cs="Cambria Math"/>
                <w:bCs/>
                <w:iCs w:val="0"/>
                <w:sz w:val="18"/>
                <w:szCs w:val="14"/>
              </w:rPr>
              <w:t>‑</w:t>
            </w:r>
            <w:r w:rsidRPr="00AD5B02">
              <w:rPr>
                <w:bCs/>
                <w:iCs w:val="0"/>
                <w:sz w:val="18"/>
                <w:szCs w:val="14"/>
              </w:rPr>
              <w:t>market data and reactive mechanisms in the Commission proposal, lack of explicit access risks weakening the preventive intent of the MDR and creating inconsistent practices across Member States.</w:t>
            </w:r>
          </w:p>
        </w:tc>
        <w:tc>
          <w:tcPr>
            <w:tcW w:w="5528" w:type="dxa"/>
            <w:tcBorders>
              <w:top w:val="single" w:sz="4" w:space="0" w:color="auto"/>
              <w:left w:val="single" w:sz="4" w:space="0" w:color="auto"/>
              <w:bottom w:val="single" w:sz="4" w:space="0" w:color="auto"/>
              <w:right w:val="single" w:sz="4" w:space="0" w:color="auto"/>
            </w:tcBorders>
          </w:tcPr>
          <w:p w14:paraId="6937872F" w14:textId="77777777" w:rsidR="00F26E61" w:rsidRPr="006D3B3D" w:rsidRDefault="00F26E61" w:rsidP="00407A8E">
            <w:pPr>
              <w:spacing w:line="276" w:lineRule="auto"/>
              <w:rPr>
                <w:bCs/>
                <w:iCs w:val="0"/>
                <w:sz w:val="18"/>
                <w:szCs w:val="14"/>
              </w:rPr>
            </w:pPr>
            <w:r w:rsidRPr="006D3B3D">
              <w:rPr>
                <w:bCs/>
                <w:iCs w:val="0"/>
                <w:sz w:val="18"/>
                <w:szCs w:val="14"/>
              </w:rPr>
              <w:t>Team-NB text proposal</w:t>
            </w:r>
            <w:r>
              <w:rPr>
                <w:bCs/>
                <w:iCs w:val="0"/>
                <w:sz w:val="18"/>
                <w:szCs w:val="14"/>
              </w:rPr>
              <w:t xml:space="preserve"> for MDR</w:t>
            </w:r>
            <w:r w:rsidRPr="006D3B3D">
              <w:rPr>
                <w:bCs/>
                <w:iCs w:val="0"/>
                <w:sz w:val="18"/>
                <w:szCs w:val="14"/>
              </w:rPr>
              <w:t>:</w:t>
            </w:r>
          </w:p>
          <w:p w14:paraId="1249FA08" w14:textId="77777777" w:rsidR="00F26E61" w:rsidRDefault="00F26E61" w:rsidP="00407A8E">
            <w:pPr>
              <w:spacing w:line="276" w:lineRule="auto"/>
              <w:rPr>
                <w:rFonts w:cs="Aptos"/>
                <w:bCs/>
                <w:i/>
                <w:sz w:val="18"/>
                <w:szCs w:val="14"/>
              </w:rPr>
            </w:pPr>
            <w:r w:rsidRPr="005D7DA9">
              <w:rPr>
                <w:bCs/>
                <w:i/>
                <w:sz w:val="18"/>
                <w:szCs w:val="14"/>
              </w:rPr>
              <w:t>“For the purposes of Articles</w:t>
            </w:r>
            <w:r w:rsidRPr="005D7DA9">
              <w:rPr>
                <w:rFonts w:ascii="Arial" w:hAnsi="Arial" w:cs="Arial"/>
                <w:bCs/>
                <w:i/>
                <w:sz w:val="18"/>
                <w:szCs w:val="14"/>
              </w:rPr>
              <w:t> </w:t>
            </w:r>
            <w:r w:rsidRPr="005D7DA9">
              <w:rPr>
                <w:bCs/>
                <w:i/>
                <w:sz w:val="18"/>
                <w:szCs w:val="14"/>
              </w:rPr>
              <w:t>83 to</w:t>
            </w:r>
            <w:r w:rsidRPr="005D7DA9">
              <w:rPr>
                <w:rFonts w:ascii="Arial" w:hAnsi="Arial" w:cs="Arial"/>
                <w:bCs/>
                <w:i/>
                <w:sz w:val="18"/>
                <w:szCs w:val="14"/>
              </w:rPr>
              <w:t> </w:t>
            </w:r>
            <w:r w:rsidRPr="005D7DA9">
              <w:rPr>
                <w:bCs/>
                <w:i/>
                <w:sz w:val="18"/>
                <w:szCs w:val="14"/>
              </w:rPr>
              <w:t>86 and Annexes</w:t>
            </w:r>
            <w:r w:rsidRPr="005D7DA9">
              <w:rPr>
                <w:rFonts w:ascii="Arial" w:hAnsi="Arial" w:cs="Arial"/>
                <w:bCs/>
                <w:i/>
                <w:sz w:val="18"/>
                <w:szCs w:val="14"/>
              </w:rPr>
              <w:t> </w:t>
            </w:r>
            <w:r w:rsidRPr="005D7DA9">
              <w:rPr>
                <w:bCs/>
                <w:i/>
                <w:sz w:val="18"/>
                <w:szCs w:val="14"/>
              </w:rPr>
              <w:t>III and</w:t>
            </w:r>
            <w:r w:rsidRPr="005D7DA9">
              <w:rPr>
                <w:rFonts w:ascii="Arial" w:hAnsi="Arial" w:cs="Arial"/>
                <w:bCs/>
                <w:i/>
                <w:sz w:val="18"/>
                <w:szCs w:val="14"/>
              </w:rPr>
              <w:t> </w:t>
            </w:r>
            <w:r w:rsidRPr="005D7DA9">
              <w:rPr>
                <w:bCs/>
                <w:i/>
                <w:sz w:val="18"/>
                <w:szCs w:val="14"/>
              </w:rPr>
              <w:t>IX, notified bodies designated under this Regulation shall have direct access to the relevant modules of the electronic system referred to in Article</w:t>
            </w:r>
            <w:r w:rsidRPr="005D7DA9">
              <w:rPr>
                <w:rFonts w:ascii="Arial" w:hAnsi="Arial" w:cs="Arial"/>
                <w:bCs/>
                <w:i/>
                <w:sz w:val="18"/>
                <w:szCs w:val="14"/>
              </w:rPr>
              <w:t> </w:t>
            </w:r>
            <w:r w:rsidRPr="005D7DA9">
              <w:rPr>
                <w:bCs/>
                <w:i/>
                <w:sz w:val="18"/>
                <w:szCs w:val="14"/>
              </w:rPr>
              <w:t>92, to the extent necessary to perform their conformity assessment, surveillance and periodic review tasks.</w:t>
            </w:r>
            <w:r w:rsidRPr="005D7DA9">
              <w:rPr>
                <w:rFonts w:cs="Aptos"/>
                <w:bCs/>
                <w:i/>
                <w:sz w:val="18"/>
                <w:szCs w:val="14"/>
              </w:rPr>
              <w:t>”</w:t>
            </w:r>
          </w:p>
          <w:p w14:paraId="3B09C439" w14:textId="77777777" w:rsidR="00F26E61" w:rsidRDefault="00F26E61" w:rsidP="00407A8E">
            <w:pPr>
              <w:spacing w:line="276" w:lineRule="auto"/>
              <w:rPr>
                <w:rFonts w:cs="Aptos"/>
                <w:bCs/>
                <w:i/>
                <w:sz w:val="18"/>
                <w:szCs w:val="14"/>
              </w:rPr>
            </w:pPr>
          </w:p>
          <w:p w14:paraId="00B984D8" w14:textId="77777777" w:rsidR="00F26E61" w:rsidRPr="005D7DA9" w:rsidRDefault="00F26E61" w:rsidP="00407A8E">
            <w:pPr>
              <w:spacing w:line="276" w:lineRule="auto"/>
              <w:rPr>
                <w:bCs/>
                <w:iCs w:val="0"/>
                <w:sz w:val="18"/>
                <w:szCs w:val="14"/>
              </w:rPr>
            </w:pPr>
            <w:r>
              <w:rPr>
                <w:rFonts w:cs="Aptos"/>
                <w:bCs/>
                <w:iCs w:val="0"/>
                <w:sz w:val="18"/>
                <w:szCs w:val="14"/>
              </w:rPr>
              <w:t xml:space="preserve">For IVDR, analogous text is proposed. </w:t>
            </w:r>
          </w:p>
          <w:p w14:paraId="682A068B" w14:textId="77777777" w:rsidR="00F26E61" w:rsidRPr="006D3B3D" w:rsidRDefault="00F26E61" w:rsidP="00407A8E">
            <w:pPr>
              <w:spacing w:line="276" w:lineRule="auto"/>
              <w:rPr>
                <w:bCs/>
                <w:i/>
                <w:sz w:val="18"/>
                <w:szCs w:val="14"/>
              </w:rPr>
            </w:pPr>
          </w:p>
        </w:tc>
      </w:tr>
      <w:tr w:rsidR="00F26E61" w:rsidRPr="00F97146" w14:paraId="37EC05C6" w14:textId="77777777" w:rsidTr="0022597C">
        <w:tc>
          <w:tcPr>
            <w:tcW w:w="568" w:type="dxa"/>
          </w:tcPr>
          <w:p w14:paraId="40F83C79" w14:textId="77777777" w:rsidR="00F26E61" w:rsidRPr="00F97146" w:rsidRDefault="00F26E61" w:rsidP="00407A8E">
            <w:pPr>
              <w:spacing w:line="276" w:lineRule="auto"/>
              <w:ind w:left="-48" w:firstLine="6"/>
              <w:jc w:val="center"/>
              <w:rPr>
                <w:iCs w:val="0"/>
                <w:sz w:val="18"/>
                <w:szCs w:val="14"/>
                <w:lang w:val="en-US"/>
              </w:rPr>
            </w:pPr>
            <w:r w:rsidRPr="00F97146">
              <w:rPr>
                <w:iCs w:val="0"/>
                <w:sz w:val="18"/>
                <w:szCs w:val="14"/>
                <w:lang w:val="en-US"/>
              </w:rPr>
              <w:t>38</w:t>
            </w:r>
          </w:p>
        </w:tc>
        <w:tc>
          <w:tcPr>
            <w:tcW w:w="1134" w:type="dxa"/>
            <w:tcBorders>
              <w:top w:val="single" w:sz="4" w:space="0" w:color="auto"/>
              <w:left w:val="single" w:sz="4" w:space="0" w:color="auto"/>
              <w:bottom w:val="single" w:sz="4" w:space="0" w:color="auto"/>
              <w:right w:val="single" w:sz="4" w:space="0" w:color="auto"/>
            </w:tcBorders>
          </w:tcPr>
          <w:p w14:paraId="0E34B72A" w14:textId="77777777" w:rsidR="00F26E61" w:rsidRPr="00F97146" w:rsidRDefault="00F26E61" w:rsidP="00407A8E">
            <w:pPr>
              <w:spacing w:line="276" w:lineRule="auto"/>
              <w:ind w:left="-48" w:firstLine="6"/>
              <w:jc w:val="center"/>
              <w:rPr>
                <w:iCs w:val="0"/>
                <w:sz w:val="18"/>
                <w:szCs w:val="14"/>
                <w:lang w:val="en-US"/>
              </w:rPr>
            </w:pPr>
            <w:r w:rsidRPr="00F97146">
              <w:rPr>
                <w:iCs w:val="0"/>
                <w:sz w:val="18"/>
                <w:szCs w:val="14"/>
                <w:lang w:val="en-US"/>
              </w:rPr>
              <w:t>83, 85, 123</w:t>
            </w:r>
          </w:p>
        </w:tc>
        <w:tc>
          <w:tcPr>
            <w:tcW w:w="1114" w:type="dxa"/>
            <w:tcBorders>
              <w:top w:val="single" w:sz="4" w:space="0" w:color="auto"/>
              <w:left w:val="single" w:sz="4" w:space="0" w:color="auto"/>
              <w:bottom w:val="single" w:sz="4" w:space="0" w:color="auto"/>
              <w:right w:val="single" w:sz="4" w:space="0" w:color="auto"/>
            </w:tcBorders>
          </w:tcPr>
          <w:p w14:paraId="17638B7F" w14:textId="77777777" w:rsidR="00F26E61" w:rsidRPr="00F97146" w:rsidRDefault="00F26E61" w:rsidP="00407A8E">
            <w:pPr>
              <w:spacing w:line="276" w:lineRule="auto"/>
              <w:ind w:left="75"/>
              <w:jc w:val="center"/>
              <w:rPr>
                <w:iCs w:val="0"/>
                <w:sz w:val="18"/>
                <w:szCs w:val="14"/>
                <w:lang w:val="fr-FR"/>
              </w:rPr>
            </w:pPr>
            <w:r w:rsidRPr="00F97146">
              <w:rPr>
                <w:iCs w:val="0"/>
                <w:sz w:val="18"/>
                <w:szCs w:val="14"/>
                <w:lang w:val="fr-FR"/>
              </w:rPr>
              <w:t>MDR: 1</w:t>
            </w:r>
          </w:p>
          <w:p w14:paraId="60EB3451" w14:textId="77777777" w:rsidR="00F26E61" w:rsidRPr="00F97146" w:rsidRDefault="00F26E61" w:rsidP="00407A8E">
            <w:pPr>
              <w:spacing w:line="276" w:lineRule="auto"/>
              <w:ind w:left="75"/>
              <w:jc w:val="center"/>
              <w:rPr>
                <w:iCs w:val="0"/>
                <w:sz w:val="18"/>
                <w:szCs w:val="14"/>
                <w:lang w:val="fr-FR"/>
              </w:rPr>
            </w:pPr>
            <w:r w:rsidRPr="00F97146">
              <w:rPr>
                <w:iCs w:val="0"/>
                <w:sz w:val="18"/>
                <w:szCs w:val="14"/>
                <w:lang w:val="fr-FR"/>
              </w:rPr>
              <w:t>IVDR: 2</w:t>
            </w:r>
          </w:p>
        </w:tc>
        <w:tc>
          <w:tcPr>
            <w:tcW w:w="1134" w:type="dxa"/>
            <w:tcBorders>
              <w:top w:val="single" w:sz="4" w:space="0" w:color="auto"/>
              <w:left w:val="single" w:sz="4" w:space="0" w:color="auto"/>
              <w:bottom w:val="single" w:sz="4" w:space="0" w:color="auto"/>
              <w:right w:val="single" w:sz="4" w:space="0" w:color="auto"/>
            </w:tcBorders>
          </w:tcPr>
          <w:p w14:paraId="3A42F592" w14:textId="77777777" w:rsidR="00F26E61" w:rsidRPr="00F97146" w:rsidRDefault="00F26E61" w:rsidP="00407A8E">
            <w:pPr>
              <w:spacing w:line="276" w:lineRule="auto"/>
              <w:jc w:val="center"/>
              <w:rPr>
                <w:iCs w:val="0"/>
                <w:sz w:val="18"/>
                <w:szCs w:val="14"/>
                <w:lang w:val="en-US"/>
              </w:rPr>
            </w:pPr>
            <w:r w:rsidRPr="00F97146">
              <w:rPr>
                <w:iCs w:val="0"/>
                <w:sz w:val="18"/>
                <w:szCs w:val="14"/>
                <w:lang w:val="en-US"/>
              </w:rPr>
              <w:t>MDR: 86, 87</w:t>
            </w:r>
          </w:p>
          <w:p w14:paraId="35D3BC54" w14:textId="77777777" w:rsidR="00F26E61" w:rsidRPr="00F97146" w:rsidRDefault="00F26E61" w:rsidP="00407A8E">
            <w:pPr>
              <w:spacing w:line="276" w:lineRule="auto"/>
              <w:jc w:val="center"/>
              <w:rPr>
                <w:iCs w:val="0"/>
                <w:sz w:val="18"/>
                <w:szCs w:val="14"/>
                <w:lang w:val="en-US"/>
              </w:rPr>
            </w:pPr>
            <w:r w:rsidRPr="00F97146">
              <w:rPr>
                <w:iCs w:val="0"/>
                <w:sz w:val="18"/>
                <w:szCs w:val="14"/>
                <w:lang w:val="en-US"/>
              </w:rPr>
              <w:t>IVDR: 70</w:t>
            </w:r>
          </w:p>
        </w:tc>
        <w:tc>
          <w:tcPr>
            <w:tcW w:w="1134" w:type="dxa"/>
            <w:tcBorders>
              <w:top w:val="single" w:sz="4" w:space="0" w:color="auto"/>
              <w:left w:val="single" w:sz="4" w:space="0" w:color="auto"/>
              <w:bottom w:val="single" w:sz="4" w:space="0" w:color="auto"/>
              <w:right w:val="single" w:sz="4" w:space="0" w:color="auto"/>
            </w:tcBorders>
          </w:tcPr>
          <w:p w14:paraId="16ECB7A3" w14:textId="77777777" w:rsidR="00F26E61" w:rsidRPr="00F97146" w:rsidRDefault="00F26E61" w:rsidP="00407A8E">
            <w:pPr>
              <w:spacing w:line="276" w:lineRule="auto"/>
              <w:ind w:left="14"/>
              <w:jc w:val="center"/>
              <w:rPr>
                <w:iCs w:val="0"/>
                <w:sz w:val="18"/>
                <w:szCs w:val="14"/>
                <w:lang w:val="en-US"/>
              </w:rPr>
            </w:pPr>
          </w:p>
        </w:tc>
        <w:tc>
          <w:tcPr>
            <w:tcW w:w="4840" w:type="dxa"/>
            <w:tcBorders>
              <w:top w:val="single" w:sz="4" w:space="0" w:color="auto"/>
              <w:left w:val="single" w:sz="4" w:space="0" w:color="auto"/>
              <w:bottom w:val="single" w:sz="4" w:space="0" w:color="auto"/>
              <w:right w:val="single" w:sz="4" w:space="0" w:color="auto"/>
            </w:tcBorders>
          </w:tcPr>
          <w:p w14:paraId="124DA8E2" w14:textId="77777777" w:rsidR="00F26E61" w:rsidRPr="00F97146" w:rsidRDefault="00F26E61" w:rsidP="00407A8E">
            <w:pPr>
              <w:spacing w:line="276" w:lineRule="auto"/>
              <w:rPr>
                <w:bCs/>
                <w:iCs w:val="0"/>
                <w:sz w:val="18"/>
                <w:szCs w:val="14"/>
              </w:rPr>
            </w:pPr>
            <w:r w:rsidRPr="00F97146">
              <w:rPr>
                <w:bCs/>
                <w:iCs w:val="0"/>
                <w:sz w:val="18"/>
                <w:szCs w:val="14"/>
              </w:rPr>
              <w:t>The governance of expert panels shall be clearly defined, including the respective roles of the Commission and EMA in oversight and secretariat support, and the relationship between expert panels, MDCG, EMA and NBCG Med. Team NB believes clear governance provisions would enhance predictability and transparency for all actors involved in expert panel activities.</w:t>
            </w:r>
          </w:p>
          <w:p w14:paraId="48549036" w14:textId="77777777" w:rsidR="00F26E61" w:rsidRPr="00F97146" w:rsidRDefault="00F26E61" w:rsidP="00407A8E">
            <w:pPr>
              <w:spacing w:line="276" w:lineRule="auto"/>
              <w:rPr>
                <w:bCs/>
                <w:iCs w:val="0"/>
                <w:sz w:val="18"/>
                <w:szCs w:val="14"/>
              </w:rPr>
            </w:pPr>
          </w:p>
          <w:p w14:paraId="6F2D449A" w14:textId="77777777" w:rsidR="00F26E61" w:rsidRPr="00F97146" w:rsidRDefault="00F26E61" w:rsidP="00407A8E">
            <w:pPr>
              <w:spacing w:line="276" w:lineRule="auto"/>
              <w:rPr>
                <w:bCs/>
                <w:iCs w:val="0"/>
                <w:sz w:val="18"/>
                <w:szCs w:val="14"/>
              </w:rPr>
            </w:pPr>
            <w:r w:rsidRPr="00F97146">
              <w:rPr>
                <w:bCs/>
                <w:iCs w:val="0"/>
                <w:sz w:val="18"/>
                <w:szCs w:val="14"/>
              </w:rPr>
              <w:t>The existing governance model should be extended with:</w:t>
            </w:r>
          </w:p>
          <w:p w14:paraId="36ADB1BF" w14:textId="77777777" w:rsidR="00F26E61" w:rsidRPr="00F97146" w:rsidRDefault="00F26E61" w:rsidP="00F26E61">
            <w:pPr>
              <w:pStyle w:val="Paragraphedeliste"/>
              <w:numPr>
                <w:ilvl w:val="0"/>
                <w:numId w:val="90"/>
              </w:numPr>
              <w:spacing w:after="0" w:line="276" w:lineRule="auto"/>
              <w:rPr>
                <w:bCs/>
                <w:iCs w:val="0"/>
                <w:sz w:val="18"/>
                <w:szCs w:val="14"/>
              </w:rPr>
            </w:pPr>
            <w:r w:rsidRPr="00F97146">
              <w:rPr>
                <w:bCs/>
                <w:iCs w:val="0"/>
                <w:sz w:val="18"/>
                <w:szCs w:val="14"/>
              </w:rPr>
              <w:t>The interaction between Expert Panels and NBCG Med, clarifying that NBCG Med provides a forum for coordination and exchange.</w:t>
            </w:r>
          </w:p>
          <w:p w14:paraId="4088B225" w14:textId="77777777" w:rsidR="00F26E61" w:rsidRPr="00F97146" w:rsidRDefault="00F26E61" w:rsidP="00F26E61">
            <w:pPr>
              <w:pStyle w:val="Paragraphedeliste"/>
              <w:numPr>
                <w:ilvl w:val="0"/>
                <w:numId w:val="90"/>
              </w:numPr>
              <w:spacing w:after="0" w:line="276" w:lineRule="auto"/>
              <w:rPr>
                <w:bCs/>
                <w:iCs w:val="0"/>
                <w:sz w:val="18"/>
                <w:szCs w:val="14"/>
              </w:rPr>
            </w:pPr>
            <w:r w:rsidRPr="00F97146">
              <w:rPr>
                <w:bCs/>
                <w:iCs w:val="0"/>
                <w:sz w:val="18"/>
                <w:szCs w:val="14"/>
              </w:rPr>
              <w:t>How expert panel outputs are integrated into Union processes, including classification, qualification, and the evaluation of applications for Breakthrough (</w:t>
            </w:r>
            <w:proofErr w:type="spellStart"/>
            <w:r w:rsidRPr="00F97146">
              <w:rPr>
                <w:bCs/>
                <w:iCs w:val="0"/>
                <w:sz w:val="18"/>
                <w:szCs w:val="14"/>
              </w:rPr>
              <w:t>BtX</w:t>
            </w:r>
            <w:proofErr w:type="spellEnd"/>
            <w:r w:rsidRPr="00F97146">
              <w:rPr>
                <w:bCs/>
                <w:iCs w:val="0"/>
                <w:sz w:val="18"/>
                <w:szCs w:val="14"/>
              </w:rPr>
              <w:t>) and Orphan designations, in a manner that ensures proportionality, consistency, and timely decision making.</w:t>
            </w:r>
          </w:p>
          <w:p w14:paraId="57271367" w14:textId="77777777" w:rsidR="00F26E61" w:rsidRPr="00F97146" w:rsidRDefault="00F26E61" w:rsidP="00407A8E">
            <w:pPr>
              <w:spacing w:line="276" w:lineRule="auto"/>
              <w:rPr>
                <w:bCs/>
                <w:iCs w:val="0"/>
                <w:sz w:val="18"/>
                <w:szCs w:val="14"/>
              </w:rPr>
            </w:pPr>
          </w:p>
          <w:p w14:paraId="112027B8" w14:textId="77777777" w:rsidR="00F26E61" w:rsidRPr="00F97146" w:rsidRDefault="00F26E61" w:rsidP="00407A8E">
            <w:pPr>
              <w:spacing w:line="276" w:lineRule="auto"/>
              <w:rPr>
                <w:bCs/>
                <w:iCs w:val="0"/>
                <w:sz w:val="18"/>
                <w:szCs w:val="14"/>
              </w:rPr>
            </w:pPr>
            <w:r w:rsidRPr="00F97146">
              <w:rPr>
                <w:bCs/>
                <w:iCs w:val="0"/>
                <w:sz w:val="18"/>
                <w:szCs w:val="14"/>
              </w:rPr>
              <w:t>This structure would ensure transparency, reinforce the independence of scientific advice, and provide a clear and coherent framework for the participation of NB experts in Expert Panel activities.</w:t>
            </w:r>
          </w:p>
        </w:tc>
        <w:tc>
          <w:tcPr>
            <w:tcW w:w="5528" w:type="dxa"/>
            <w:tcBorders>
              <w:top w:val="single" w:sz="4" w:space="0" w:color="auto"/>
              <w:left w:val="single" w:sz="4" w:space="0" w:color="auto"/>
              <w:bottom w:val="single" w:sz="4" w:space="0" w:color="auto"/>
              <w:right w:val="single" w:sz="4" w:space="0" w:color="auto"/>
            </w:tcBorders>
          </w:tcPr>
          <w:p w14:paraId="19A07465" w14:textId="77777777" w:rsidR="00F26E61" w:rsidRPr="00F97146" w:rsidRDefault="00F26E61" w:rsidP="00407A8E">
            <w:pPr>
              <w:spacing w:line="276" w:lineRule="auto"/>
              <w:rPr>
                <w:bCs/>
                <w:iCs w:val="0"/>
                <w:sz w:val="18"/>
                <w:szCs w:val="14"/>
              </w:rPr>
            </w:pPr>
            <w:r w:rsidRPr="00F97146">
              <w:rPr>
                <w:bCs/>
                <w:iCs w:val="0"/>
                <w:sz w:val="18"/>
                <w:szCs w:val="14"/>
              </w:rPr>
              <w:lastRenderedPageBreak/>
              <w:t>Team NB proposed text:</w:t>
            </w:r>
          </w:p>
          <w:p w14:paraId="3B9E0329" w14:textId="77777777" w:rsidR="00F26E61" w:rsidRPr="00F97146" w:rsidRDefault="00F26E61" w:rsidP="00407A8E">
            <w:pPr>
              <w:spacing w:line="276" w:lineRule="auto"/>
              <w:rPr>
                <w:bCs/>
                <w:iCs w:val="0"/>
                <w:sz w:val="18"/>
                <w:szCs w:val="14"/>
              </w:rPr>
            </w:pPr>
            <w:r w:rsidRPr="00F97146">
              <w:rPr>
                <w:b/>
                <w:iCs w:val="0"/>
                <w:sz w:val="18"/>
                <w:szCs w:val="14"/>
              </w:rPr>
              <w:t>“</w:t>
            </w:r>
            <w:r w:rsidRPr="00F97146">
              <w:rPr>
                <w:bCs/>
                <w:i/>
                <w:sz w:val="18"/>
                <w:szCs w:val="14"/>
              </w:rPr>
              <w:t xml:space="preserve">In order to ensure consistent, transparent and independent scientific advice at Union level, the governance of expert panels should be clearly delineated. It is therefore appropriate to specify the respective roles of the Commission and the European Medicines Agency in the oversight and operational support of Expert Panels, the reporting obligations towards the Medical Device Coordination Group, and the </w:t>
            </w:r>
            <w:r w:rsidRPr="00F97146">
              <w:rPr>
                <w:bCs/>
                <w:i/>
                <w:sz w:val="18"/>
                <w:szCs w:val="14"/>
              </w:rPr>
              <w:lastRenderedPageBreak/>
              <w:t>modalities for interaction with NBCG Med. Clarifying these elements would enhance predictability for manufacturers, notified bodies and other stakeholders, while safeguarding the independence and technical integrity of Expert Panel opinions issued under this Regulation.”</w:t>
            </w:r>
          </w:p>
        </w:tc>
      </w:tr>
      <w:tr w:rsidR="00F26E61" w:rsidRPr="00F97146" w14:paraId="0FB9884B" w14:textId="77777777" w:rsidTr="0022597C">
        <w:tc>
          <w:tcPr>
            <w:tcW w:w="568" w:type="dxa"/>
          </w:tcPr>
          <w:p w14:paraId="74A65A83" w14:textId="77777777" w:rsidR="00F26E61" w:rsidRPr="00F97146" w:rsidRDefault="00F26E61" w:rsidP="00407A8E">
            <w:pPr>
              <w:spacing w:line="276" w:lineRule="auto"/>
              <w:ind w:left="-48" w:firstLine="6"/>
              <w:jc w:val="center"/>
              <w:rPr>
                <w:iCs w:val="0"/>
                <w:sz w:val="18"/>
                <w:szCs w:val="14"/>
                <w:lang w:val="en-US"/>
              </w:rPr>
            </w:pPr>
            <w:r w:rsidRPr="00F97146">
              <w:rPr>
                <w:iCs w:val="0"/>
                <w:sz w:val="18"/>
                <w:szCs w:val="14"/>
                <w:lang w:val="en-US"/>
              </w:rPr>
              <w:lastRenderedPageBreak/>
              <w:t>39</w:t>
            </w:r>
          </w:p>
        </w:tc>
        <w:tc>
          <w:tcPr>
            <w:tcW w:w="1134" w:type="dxa"/>
            <w:tcBorders>
              <w:top w:val="single" w:sz="4" w:space="0" w:color="auto"/>
              <w:left w:val="single" w:sz="4" w:space="0" w:color="auto"/>
              <w:bottom w:val="single" w:sz="4" w:space="0" w:color="auto"/>
              <w:right w:val="single" w:sz="4" w:space="0" w:color="auto"/>
            </w:tcBorders>
          </w:tcPr>
          <w:p w14:paraId="2CEB4EC6" w14:textId="77777777" w:rsidR="00F26E61" w:rsidRPr="00F97146" w:rsidRDefault="00F26E61" w:rsidP="00407A8E">
            <w:pPr>
              <w:spacing w:line="276" w:lineRule="auto"/>
              <w:ind w:left="-48" w:firstLine="6"/>
              <w:jc w:val="center"/>
              <w:rPr>
                <w:iCs w:val="0"/>
                <w:sz w:val="18"/>
                <w:szCs w:val="14"/>
                <w:lang w:val="en-US"/>
              </w:rPr>
            </w:pPr>
            <w:r w:rsidRPr="00F97146">
              <w:rPr>
                <w:iCs w:val="0"/>
                <w:sz w:val="18"/>
                <w:szCs w:val="14"/>
                <w:lang w:val="en-US"/>
              </w:rPr>
              <w:t>83</w:t>
            </w:r>
          </w:p>
        </w:tc>
        <w:tc>
          <w:tcPr>
            <w:tcW w:w="1114" w:type="dxa"/>
            <w:tcBorders>
              <w:top w:val="single" w:sz="4" w:space="0" w:color="auto"/>
              <w:left w:val="single" w:sz="4" w:space="0" w:color="auto"/>
              <w:bottom w:val="single" w:sz="4" w:space="0" w:color="auto"/>
              <w:right w:val="single" w:sz="4" w:space="0" w:color="auto"/>
            </w:tcBorders>
          </w:tcPr>
          <w:p w14:paraId="5A39CD15" w14:textId="77777777" w:rsidR="00F26E61" w:rsidRPr="00F97146" w:rsidRDefault="00F26E61" w:rsidP="00407A8E">
            <w:pPr>
              <w:spacing w:line="276" w:lineRule="auto"/>
              <w:ind w:left="75"/>
              <w:jc w:val="center"/>
              <w:rPr>
                <w:iCs w:val="0"/>
                <w:sz w:val="18"/>
                <w:szCs w:val="14"/>
                <w:lang w:val="fr-FR"/>
              </w:rPr>
            </w:pPr>
            <w:r w:rsidRPr="00F97146">
              <w:rPr>
                <w:iCs w:val="0"/>
                <w:sz w:val="18"/>
                <w:szCs w:val="14"/>
                <w:lang w:val="fr-FR"/>
              </w:rPr>
              <w:t>1</w:t>
            </w:r>
          </w:p>
        </w:tc>
        <w:tc>
          <w:tcPr>
            <w:tcW w:w="1134" w:type="dxa"/>
            <w:tcBorders>
              <w:top w:val="single" w:sz="4" w:space="0" w:color="auto"/>
              <w:left w:val="single" w:sz="4" w:space="0" w:color="auto"/>
              <w:bottom w:val="single" w:sz="4" w:space="0" w:color="auto"/>
              <w:right w:val="single" w:sz="4" w:space="0" w:color="auto"/>
            </w:tcBorders>
          </w:tcPr>
          <w:p w14:paraId="767D7F95" w14:textId="77777777" w:rsidR="00F26E61" w:rsidRPr="00F97146" w:rsidRDefault="00F26E61" w:rsidP="00407A8E">
            <w:pPr>
              <w:spacing w:line="276" w:lineRule="auto"/>
              <w:jc w:val="center"/>
              <w:rPr>
                <w:iCs w:val="0"/>
                <w:sz w:val="18"/>
                <w:szCs w:val="14"/>
                <w:lang w:val="en-US"/>
              </w:rPr>
            </w:pPr>
            <w:r w:rsidRPr="00F97146">
              <w:rPr>
                <w:iCs w:val="0"/>
                <w:sz w:val="18"/>
                <w:szCs w:val="14"/>
                <w:lang w:val="en-US"/>
              </w:rPr>
              <w:t>86</w:t>
            </w:r>
          </w:p>
        </w:tc>
        <w:tc>
          <w:tcPr>
            <w:tcW w:w="1134" w:type="dxa"/>
            <w:tcBorders>
              <w:top w:val="single" w:sz="4" w:space="0" w:color="auto"/>
              <w:left w:val="single" w:sz="4" w:space="0" w:color="auto"/>
              <w:bottom w:val="single" w:sz="4" w:space="0" w:color="auto"/>
              <w:right w:val="single" w:sz="4" w:space="0" w:color="auto"/>
            </w:tcBorders>
          </w:tcPr>
          <w:p w14:paraId="479478FB" w14:textId="77777777" w:rsidR="00F26E61" w:rsidRPr="00F97146" w:rsidRDefault="00F26E61" w:rsidP="00407A8E">
            <w:pPr>
              <w:spacing w:line="276" w:lineRule="auto"/>
              <w:ind w:left="14"/>
              <w:jc w:val="center"/>
              <w:rPr>
                <w:iCs w:val="0"/>
                <w:sz w:val="18"/>
                <w:szCs w:val="14"/>
                <w:lang w:val="en-US"/>
              </w:rPr>
            </w:pPr>
          </w:p>
        </w:tc>
        <w:tc>
          <w:tcPr>
            <w:tcW w:w="4840" w:type="dxa"/>
            <w:tcBorders>
              <w:top w:val="single" w:sz="4" w:space="0" w:color="auto"/>
              <w:left w:val="single" w:sz="4" w:space="0" w:color="auto"/>
              <w:bottom w:val="single" w:sz="4" w:space="0" w:color="auto"/>
              <w:right w:val="single" w:sz="4" w:space="0" w:color="auto"/>
            </w:tcBorders>
          </w:tcPr>
          <w:p w14:paraId="25F206C8" w14:textId="77777777" w:rsidR="00F26E61" w:rsidRPr="00F97146" w:rsidRDefault="00F26E61" w:rsidP="00407A8E">
            <w:pPr>
              <w:spacing w:line="276" w:lineRule="auto"/>
              <w:rPr>
                <w:bCs/>
                <w:iCs w:val="0"/>
                <w:sz w:val="18"/>
                <w:szCs w:val="14"/>
              </w:rPr>
            </w:pPr>
            <w:r w:rsidRPr="00F97146">
              <w:rPr>
                <w:bCs/>
                <w:iCs w:val="0"/>
                <w:sz w:val="18"/>
                <w:szCs w:val="14"/>
              </w:rPr>
              <w:t>NB personnel have demonstrable expertise validated by national designating authorities. Their contribution increases the technical and regulatory depth of Expert Panels while ensuring consistency with conformity assessment practice.</w:t>
            </w:r>
          </w:p>
          <w:p w14:paraId="50FAF914" w14:textId="77777777" w:rsidR="00F26E61" w:rsidRPr="00F97146" w:rsidRDefault="00F26E61" w:rsidP="00407A8E">
            <w:pPr>
              <w:spacing w:line="276" w:lineRule="auto"/>
              <w:rPr>
                <w:bCs/>
                <w:iCs w:val="0"/>
                <w:sz w:val="18"/>
                <w:szCs w:val="14"/>
              </w:rPr>
            </w:pPr>
          </w:p>
          <w:p w14:paraId="4732469D" w14:textId="77777777" w:rsidR="00F26E61" w:rsidRPr="00F97146" w:rsidRDefault="00F26E61" w:rsidP="00407A8E">
            <w:pPr>
              <w:spacing w:line="276" w:lineRule="auto"/>
              <w:rPr>
                <w:bCs/>
                <w:iCs w:val="0"/>
                <w:sz w:val="18"/>
                <w:szCs w:val="14"/>
              </w:rPr>
            </w:pPr>
            <w:r w:rsidRPr="00F97146">
              <w:rPr>
                <w:bCs/>
                <w:iCs w:val="0"/>
                <w:sz w:val="18"/>
                <w:szCs w:val="14"/>
              </w:rPr>
              <w:t>Safeguards are necessary to preserve impartiality:</w:t>
            </w:r>
          </w:p>
          <w:p w14:paraId="6ECBC069" w14:textId="77777777" w:rsidR="00F26E61" w:rsidRPr="00F97146" w:rsidRDefault="00F26E61" w:rsidP="00F26E61">
            <w:pPr>
              <w:pStyle w:val="Paragraphedeliste"/>
              <w:numPr>
                <w:ilvl w:val="0"/>
                <w:numId w:val="91"/>
              </w:numPr>
              <w:spacing w:after="0" w:line="276" w:lineRule="auto"/>
              <w:rPr>
                <w:bCs/>
                <w:iCs w:val="0"/>
                <w:sz w:val="18"/>
                <w:szCs w:val="14"/>
              </w:rPr>
            </w:pPr>
            <w:r w:rsidRPr="00F97146">
              <w:rPr>
                <w:bCs/>
                <w:iCs w:val="0"/>
                <w:sz w:val="18"/>
                <w:szCs w:val="14"/>
              </w:rPr>
              <w:t>NB experts apply as individual professionals, not representing their NB</w:t>
            </w:r>
          </w:p>
          <w:p w14:paraId="19A17202" w14:textId="77777777" w:rsidR="00F26E61" w:rsidRPr="00F97146" w:rsidRDefault="00F26E61" w:rsidP="00F26E61">
            <w:pPr>
              <w:pStyle w:val="Paragraphedeliste"/>
              <w:numPr>
                <w:ilvl w:val="0"/>
                <w:numId w:val="91"/>
              </w:numPr>
              <w:spacing w:after="0" w:line="276" w:lineRule="auto"/>
              <w:rPr>
                <w:bCs/>
                <w:iCs w:val="0"/>
                <w:sz w:val="18"/>
                <w:szCs w:val="14"/>
              </w:rPr>
            </w:pPr>
            <w:r w:rsidRPr="00F97146">
              <w:rPr>
                <w:bCs/>
                <w:iCs w:val="0"/>
                <w:sz w:val="18"/>
                <w:szCs w:val="14"/>
              </w:rPr>
              <w:lastRenderedPageBreak/>
              <w:t>Nomination via NBCG Med, which compiles a balanced shortlist ensuring no NB is over-represented</w:t>
            </w:r>
          </w:p>
          <w:p w14:paraId="619F85ED" w14:textId="77777777" w:rsidR="00F26E61" w:rsidRPr="00F97146" w:rsidRDefault="00F26E61" w:rsidP="00F26E61">
            <w:pPr>
              <w:pStyle w:val="Paragraphedeliste"/>
              <w:numPr>
                <w:ilvl w:val="0"/>
                <w:numId w:val="91"/>
              </w:numPr>
              <w:spacing w:after="0" w:line="276" w:lineRule="auto"/>
              <w:rPr>
                <w:bCs/>
                <w:iCs w:val="0"/>
                <w:sz w:val="18"/>
                <w:szCs w:val="14"/>
              </w:rPr>
            </w:pPr>
            <w:r w:rsidRPr="00F97146">
              <w:rPr>
                <w:bCs/>
                <w:iCs w:val="0"/>
                <w:sz w:val="18"/>
                <w:szCs w:val="14"/>
              </w:rPr>
              <w:t>Appointment by EMA/Commission</w:t>
            </w:r>
          </w:p>
          <w:p w14:paraId="3FE1AEB6" w14:textId="77777777" w:rsidR="00F26E61" w:rsidRPr="00F97146" w:rsidRDefault="00F26E61" w:rsidP="00F26E61">
            <w:pPr>
              <w:pStyle w:val="Paragraphedeliste"/>
              <w:numPr>
                <w:ilvl w:val="0"/>
                <w:numId w:val="91"/>
              </w:numPr>
              <w:spacing w:after="0" w:line="276" w:lineRule="auto"/>
              <w:rPr>
                <w:bCs/>
                <w:iCs w:val="0"/>
                <w:sz w:val="18"/>
                <w:szCs w:val="14"/>
              </w:rPr>
            </w:pPr>
            <w:r w:rsidRPr="00F97146">
              <w:rPr>
                <w:bCs/>
                <w:iCs w:val="0"/>
                <w:sz w:val="18"/>
                <w:szCs w:val="14"/>
              </w:rPr>
              <w:t>Strict role separation</w:t>
            </w:r>
          </w:p>
          <w:p w14:paraId="4FF85F3F" w14:textId="77777777" w:rsidR="00F26E61" w:rsidRPr="00F97146" w:rsidRDefault="00F26E61" w:rsidP="00407A8E">
            <w:pPr>
              <w:spacing w:line="276" w:lineRule="auto"/>
              <w:rPr>
                <w:bCs/>
                <w:iCs w:val="0"/>
                <w:sz w:val="18"/>
                <w:szCs w:val="14"/>
              </w:rPr>
            </w:pPr>
          </w:p>
          <w:p w14:paraId="066AD9A5" w14:textId="77777777" w:rsidR="00F26E61" w:rsidRPr="00F97146" w:rsidRDefault="00F26E61" w:rsidP="00407A8E">
            <w:pPr>
              <w:spacing w:line="276" w:lineRule="auto"/>
              <w:rPr>
                <w:bCs/>
                <w:iCs w:val="0"/>
                <w:sz w:val="18"/>
                <w:szCs w:val="14"/>
              </w:rPr>
            </w:pPr>
            <w:r w:rsidRPr="00F97146">
              <w:rPr>
                <w:bCs/>
                <w:iCs w:val="0"/>
                <w:sz w:val="18"/>
                <w:szCs w:val="14"/>
              </w:rPr>
              <w:t>To ensure independence and avoid conflicts of interest while maintaining NB operational capacity, the following principles apply:</w:t>
            </w:r>
          </w:p>
          <w:p w14:paraId="4C2C35AE" w14:textId="77777777" w:rsidR="00F26E61" w:rsidRPr="00F97146" w:rsidRDefault="00F26E61" w:rsidP="00F26E61">
            <w:pPr>
              <w:pStyle w:val="Paragraphedeliste"/>
              <w:numPr>
                <w:ilvl w:val="0"/>
                <w:numId w:val="63"/>
              </w:numPr>
              <w:spacing w:after="0" w:line="276" w:lineRule="auto"/>
              <w:rPr>
                <w:bCs/>
                <w:iCs w:val="0"/>
                <w:sz w:val="18"/>
                <w:szCs w:val="14"/>
              </w:rPr>
            </w:pPr>
            <w:r w:rsidRPr="00F97146">
              <w:rPr>
                <w:bCs/>
                <w:iCs w:val="0"/>
                <w:sz w:val="18"/>
                <w:szCs w:val="14"/>
              </w:rPr>
              <w:t>No involvement in directly related cases</w:t>
            </w:r>
          </w:p>
          <w:p w14:paraId="57142A87" w14:textId="77777777" w:rsidR="00F26E61" w:rsidRPr="00F97146" w:rsidRDefault="00F26E61" w:rsidP="00407A8E">
            <w:pPr>
              <w:pStyle w:val="Paragraphedeliste"/>
              <w:spacing w:line="276" w:lineRule="auto"/>
              <w:rPr>
                <w:bCs/>
                <w:iCs w:val="0"/>
                <w:sz w:val="18"/>
                <w:szCs w:val="14"/>
              </w:rPr>
            </w:pPr>
            <w:r w:rsidRPr="00F97146">
              <w:rPr>
                <w:bCs/>
                <w:iCs w:val="0"/>
                <w:sz w:val="18"/>
                <w:szCs w:val="14"/>
              </w:rPr>
              <w:t>An NB expert who has contributed to an Expert Panel opinion shall not be involved in any procedure directly relating to that specific Expert Panel opinion, including subsequent assessments for the same device</w:t>
            </w:r>
          </w:p>
          <w:p w14:paraId="3BB06079" w14:textId="77777777" w:rsidR="00F26E61" w:rsidRPr="00F97146" w:rsidRDefault="00F26E61" w:rsidP="00F26E61">
            <w:pPr>
              <w:pStyle w:val="Paragraphedeliste"/>
              <w:numPr>
                <w:ilvl w:val="0"/>
                <w:numId w:val="63"/>
              </w:numPr>
              <w:spacing w:after="0" w:line="276" w:lineRule="auto"/>
              <w:rPr>
                <w:bCs/>
                <w:iCs w:val="0"/>
                <w:sz w:val="18"/>
                <w:szCs w:val="14"/>
              </w:rPr>
            </w:pPr>
            <w:r w:rsidRPr="00F97146">
              <w:rPr>
                <w:bCs/>
                <w:iCs w:val="0"/>
                <w:sz w:val="18"/>
                <w:szCs w:val="14"/>
              </w:rPr>
              <w:t>No assessment of devices previously assessed by the expert’s NB</w:t>
            </w:r>
          </w:p>
          <w:p w14:paraId="7871DD37" w14:textId="77777777" w:rsidR="00F26E61" w:rsidRPr="00F97146" w:rsidRDefault="00F26E61" w:rsidP="00407A8E">
            <w:pPr>
              <w:pStyle w:val="Paragraphedeliste"/>
              <w:spacing w:line="276" w:lineRule="auto"/>
              <w:rPr>
                <w:bCs/>
                <w:iCs w:val="0"/>
                <w:sz w:val="18"/>
                <w:szCs w:val="14"/>
              </w:rPr>
            </w:pPr>
            <w:r w:rsidRPr="00F97146">
              <w:rPr>
                <w:bCs/>
                <w:iCs w:val="0"/>
                <w:sz w:val="18"/>
                <w:szCs w:val="14"/>
              </w:rPr>
              <w:t>NB experts must not participate in Expert Panel discussions or opinions concerning devices that have been assessed by their own NB in the context of conformity assessment.</w:t>
            </w:r>
          </w:p>
          <w:p w14:paraId="43409053" w14:textId="77777777" w:rsidR="00F26E61" w:rsidRPr="00F97146" w:rsidRDefault="00F26E61" w:rsidP="00F26E61">
            <w:pPr>
              <w:pStyle w:val="Paragraphedeliste"/>
              <w:numPr>
                <w:ilvl w:val="0"/>
                <w:numId w:val="92"/>
              </w:numPr>
              <w:spacing w:after="0" w:line="276" w:lineRule="auto"/>
              <w:rPr>
                <w:bCs/>
                <w:iCs w:val="0"/>
                <w:sz w:val="18"/>
                <w:szCs w:val="14"/>
              </w:rPr>
            </w:pPr>
            <w:r w:rsidRPr="00F97146">
              <w:rPr>
                <w:bCs/>
                <w:iCs w:val="0"/>
                <w:sz w:val="18"/>
                <w:szCs w:val="14"/>
              </w:rPr>
              <w:t>Mandatory transparent publication of expert names and affiliations. For transparent publication, NB experts shall be subject to the same rules as the experts of the existing expert panels.</w:t>
            </w:r>
          </w:p>
          <w:p w14:paraId="1EED980C" w14:textId="77777777" w:rsidR="00F26E61" w:rsidRPr="00F97146" w:rsidRDefault="00F26E61" w:rsidP="00F26E61">
            <w:pPr>
              <w:pStyle w:val="Paragraphedeliste"/>
              <w:numPr>
                <w:ilvl w:val="0"/>
                <w:numId w:val="92"/>
              </w:numPr>
              <w:spacing w:after="0" w:line="276" w:lineRule="auto"/>
              <w:rPr>
                <w:bCs/>
                <w:iCs w:val="0"/>
                <w:sz w:val="18"/>
                <w:szCs w:val="14"/>
              </w:rPr>
            </w:pPr>
            <w:r w:rsidRPr="00F97146">
              <w:rPr>
                <w:bCs/>
                <w:iCs w:val="0"/>
                <w:sz w:val="18"/>
                <w:szCs w:val="14"/>
              </w:rPr>
              <w:t xml:space="preserve">Regulatory adjustments needed to permit NB expert participation as a prerequisite for any scheme involving NB personnel in expert panels, existing policies and procedures of the Commission and EMA would need to be revised to reflect the </w:t>
            </w:r>
            <w:r w:rsidRPr="00F97146">
              <w:rPr>
                <w:bCs/>
                <w:iCs w:val="0"/>
                <w:sz w:val="18"/>
                <w:szCs w:val="14"/>
              </w:rPr>
              <w:lastRenderedPageBreak/>
              <w:t>impartial and independently supervised nature of NBs, such as EC Decision 2019/1396, Art. 12 (2): “Advisor shall not have financial or other interests in the medical device industry or in a notified body […]”).</w:t>
            </w:r>
          </w:p>
        </w:tc>
        <w:tc>
          <w:tcPr>
            <w:tcW w:w="5528" w:type="dxa"/>
            <w:tcBorders>
              <w:top w:val="single" w:sz="4" w:space="0" w:color="auto"/>
              <w:left w:val="single" w:sz="4" w:space="0" w:color="auto"/>
              <w:bottom w:val="single" w:sz="4" w:space="0" w:color="auto"/>
              <w:right w:val="single" w:sz="4" w:space="0" w:color="auto"/>
            </w:tcBorders>
          </w:tcPr>
          <w:p w14:paraId="1BEEBA4F" w14:textId="77777777" w:rsidR="00F26E61" w:rsidRPr="00F97146" w:rsidRDefault="00F26E61" w:rsidP="00407A8E">
            <w:pPr>
              <w:spacing w:line="276" w:lineRule="auto"/>
              <w:rPr>
                <w:bCs/>
                <w:iCs w:val="0"/>
                <w:sz w:val="18"/>
                <w:szCs w:val="14"/>
              </w:rPr>
            </w:pPr>
            <w:r w:rsidRPr="00F97146">
              <w:rPr>
                <w:bCs/>
                <w:iCs w:val="0"/>
                <w:sz w:val="18"/>
                <w:szCs w:val="14"/>
              </w:rPr>
              <w:lastRenderedPageBreak/>
              <w:t>Team NB proposed text:</w:t>
            </w:r>
          </w:p>
          <w:p w14:paraId="306E3A26" w14:textId="77777777" w:rsidR="00F26E61" w:rsidRPr="00F97146" w:rsidRDefault="00F26E61" w:rsidP="00407A8E">
            <w:pPr>
              <w:spacing w:line="276" w:lineRule="auto"/>
              <w:rPr>
                <w:bCs/>
                <w:i/>
                <w:sz w:val="18"/>
                <w:szCs w:val="14"/>
              </w:rPr>
            </w:pPr>
            <w:r w:rsidRPr="00F97146">
              <w:rPr>
                <w:bCs/>
                <w:i/>
                <w:sz w:val="18"/>
                <w:szCs w:val="14"/>
              </w:rPr>
              <w:t>“Expert panels may include personnel from notified bodies, appointed as individual experts. Such experts shall comply with the applicable independence and impartiality requirements, including recusal from any procedure directly related to an opinion to which they have contributed and from expert panel activities concerning devices assessed or to be assessed by their notified body. These limitations apply solely to the individual expert and shall not restrict the notified body from conducting conformity assessment through other qualified personnel. All notified body experts shall be subject to the transparency rules applicable to expert panel members.”</w:t>
            </w:r>
          </w:p>
        </w:tc>
      </w:tr>
      <w:tr w:rsidR="00F26E61" w:rsidRPr="00F97146" w14:paraId="3F07A975" w14:textId="77777777" w:rsidTr="0022597C">
        <w:tc>
          <w:tcPr>
            <w:tcW w:w="568" w:type="dxa"/>
          </w:tcPr>
          <w:p w14:paraId="5BAE5978" w14:textId="77777777" w:rsidR="00F26E61" w:rsidRPr="00F97146" w:rsidRDefault="00F26E61" w:rsidP="00407A8E">
            <w:pPr>
              <w:spacing w:line="276" w:lineRule="auto"/>
              <w:ind w:left="-48" w:firstLine="6"/>
              <w:jc w:val="center"/>
              <w:rPr>
                <w:iCs w:val="0"/>
                <w:sz w:val="18"/>
                <w:szCs w:val="14"/>
                <w:lang w:val="en-US"/>
              </w:rPr>
            </w:pPr>
            <w:r w:rsidRPr="00F97146">
              <w:rPr>
                <w:iCs w:val="0"/>
                <w:sz w:val="18"/>
                <w:szCs w:val="14"/>
                <w:lang w:val="en-US"/>
              </w:rPr>
              <w:lastRenderedPageBreak/>
              <w:t>40</w:t>
            </w:r>
          </w:p>
        </w:tc>
        <w:tc>
          <w:tcPr>
            <w:tcW w:w="1134" w:type="dxa"/>
            <w:tcBorders>
              <w:top w:val="single" w:sz="4" w:space="0" w:color="auto"/>
              <w:left w:val="single" w:sz="4" w:space="0" w:color="auto"/>
              <w:bottom w:val="single" w:sz="4" w:space="0" w:color="auto"/>
              <w:right w:val="single" w:sz="4" w:space="0" w:color="auto"/>
            </w:tcBorders>
          </w:tcPr>
          <w:p w14:paraId="4AAB4196" w14:textId="77777777" w:rsidR="00F26E61" w:rsidRPr="00F97146" w:rsidRDefault="00F26E61" w:rsidP="00407A8E">
            <w:pPr>
              <w:spacing w:line="276" w:lineRule="auto"/>
              <w:ind w:left="-48" w:firstLine="6"/>
              <w:jc w:val="center"/>
              <w:rPr>
                <w:iCs w:val="0"/>
                <w:sz w:val="18"/>
                <w:szCs w:val="14"/>
                <w:lang w:val="en-US"/>
              </w:rPr>
            </w:pPr>
            <w:r w:rsidRPr="00F97146">
              <w:rPr>
                <w:iCs w:val="0"/>
                <w:sz w:val="18"/>
                <w:szCs w:val="14"/>
                <w:lang w:val="en-US"/>
              </w:rPr>
              <w:t>83</w:t>
            </w:r>
          </w:p>
        </w:tc>
        <w:tc>
          <w:tcPr>
            <w:tcW w:w="1114" w:type="dxa"/>
            <w:tcBorders>
              <w:top w:val="single" w:sz="4" w:space="0" w:color="auto"/>
              <w:left w:val="single" w:sz="4" w:space="0" w:color="auto"/>
              <w:bottom w:val="single" w:sz="4" w:space="0" w:color="auto"/>
              <w:right w:val="single" w:sz="4" w:space="0" w:color="auto"/>
            </w:tcBorders>
          </w:tcPr>
          <w:p w14:paraId="26FFEE09" w14:textId="77777777" w:rsidR="00F26E61" w:rsidRPr="00F97146" w:rsidRDefault="00F26E61" w:rsidP="00407A8E">
            <w:pPr>
              <w:spacing w:line="276" w:lineRule="auto"/>
              <w:ind w:left="75"/>
              <w:jc w:val="center"/>
              <w:rPr>
                <w:iCs w:val="0"/>
                <w:sz w:val="18"/>
                <w:szCs w:val="14"/>
                <w:lang w:val="en-US"/>
              </w:rPr>
            </w:pPr>
            <w:r w:rsidRPr="00F97146">
              <w:rPr>
                <w:iCs w:val="0"/>
                <w:sz w:val="18"/>
                <w:szCs w:val="14"/>
                <w:lang w:val="fr-FR"/>
              </w:rPr>
              <w:t>1</w:t>
            </w:r>
          </w:p>
        </w:tc>
        <w:tc>
          <w:tcPr>
            <w:tcW w:w="1134" w:type="dxa"/>
            <w:tcBorders>
              <w:top w:val="single" w:sz="4" w:space="0" w:color="auto"/>
              <w:left w:val="single" w:sz="4" w:space="0" w:color="auto"/>
              <w:bottom w:val="single" w:sz="4" w:space="0" w:color="auto"/>
              <w:right w:val="single" w:sz="4" w:space="0" w:color="auto"/>
            </w:tcBorders>
          </w:tcPr>
          <w:p w14:paraId="435BA13E" w14:textId="77777777" w:rsidR="00F26E61" w:rsidRPr="00F97146" w:rsidRDefault="00F26E61" w:rsidP="00407A8E">
            <w:pPr>
              <w:spacing w:line="276" w:lineRule="auto"/>
              <w:jc w:val="center"/>
              <w:rPr>
                <w:iCs w:val="0"/>
                <w:sz w:val="18"/>
                <w:szCs w:val="14"/>
                <w:lang w:val="en-US"/>
              </w:rPr>
            </w:pPr>
            <w:r w:rsidRPr="00F97146">
              <w:rPr>
                <w:iCs w:val="0"/>
                <w:sz w:val="18"/>
                <w:szCs w:val="14"/>
                <w:lang w:val="en-US"/>
              </w:rPr>
              <w:t>86</w:t>
            </w:r>
          </w:p>
        </w:tc>
        <w:tc>
          <w:tcPr>
            <w:tcW w:w="1134" w:type="dxa"/>
            <w:tcBorders>
              <w:top w:val="single" w:sz="4" w:space="0" w:color="auto"/>
              <w:left w:val="single" w:sz="4" w:space="0" w:color="auto"/>
              <w:bottom w:val="single" w:sz="4" w:space="0" w:color="auto"/>
              <w:right w:val="single" w:sz="4" w:space="0" w:color="auto"/>
            </w:tcBorders>
          </w:tcPr>
          <w:p w14:paraId="2D45966D" w14:textId="77777777" w:rsidR="00F26E61" w:rsidRPr="00F97146" w:rsidRDefault="00F26E61" w:rsidP="00407A8E">
            <w:pPr>
              <w:spacing w:line="276" w:lineRule="auto"/>
              <w:ind w:left="14"/>
              <w:jc w:val="center"/>
              <w:rPr>
                <w:iCs w:val="0"/>
                <w:sz w:val="18"/>
                <w:szCs w:val="14"/>
                <w:lang w:val="en-US"/>
              </w:rPr>
            </w:pPr>
          </w:p>
        </w:tc>
        <w:tc>
          <w:tcPr>
            <w:tcW w:w="4840" w:type="dxa"/>
            <w:tcBorders>
              <w:top w:val="single" w:sz="4" w:space="0" w:color="auto"/>
              <w:left w:val="single" w:sz="4" w:space="0" w:color="auto"/>
              <w:bottom w:val="single" w:sz="4" w:space="0" w:color="auto"/>
              <w:right w:val="single" w:sz="4" w:space="0" w:color="auto"/>
            </w:tcBorders>
          </w:tcPr>
          <w:p w14:paraId="61A89156" w14:textId="77777777" w:rsidR="00F26E61" w:rsidRPr="00F97146" w:rsidRDefault="00F26E61" w:rsidP="00407A8E">
            <w:pPr>
              <w:spacing w:line="276" w:lineRule="auto"/>
              <w:rPr>
                <w:bCs/>
                <w:iCs w:val="0"/>
                <w:sz w:val="18"/>
                <w:szCs w:val="14"/>
              </w:rPr>
            </w:pPr>
            <w:r w:rsidRPr="00F97146">
              <w:rPr>
                <w:bCs/>
                <w:iCs w:val="0"/>
                <w:sz w:val="18"/>
                <w:szCs w:val="14"/>
              </w:rPr>
              <w:t>The central expert pool foreseen in Art</w:t>
            </w:r>
            <w:r w:rsidRPr="00F97146">
              <w:rPr>
                <w:rFonts w:ascii="Arial" w:hAnsi="Arial" w:cs="Arial"/>
                <w:bCs/>
                <w:iCs w:val="0"/>
                <w:sz w:val="18"/>
                <w:szCs w:val="14"/>
              </w:rPr>
              <w:t> </w:t>
            </w:r>
            <w:r w:rsidRPr="00F97146">
              <w:rPr>
                <w:bCs/>
                <w:iCs w:val="0"/>
                <w:sz w:val="18"/>
                <w:szCs w:val="14"/>
              </w:rPr>
              <w:t>106(2) supports Standing Panels and Clinical Panels in domains such as:</w:t>
            </w:r>
          </w:p>
          <w:p w14:paraId="1ADC83DC" w14:textId="77777777" w:rsidR="00F26E61" w:rsidRPr="00F97146" w:rsidRDefault="00F26E61" w:rsidP="00F26E61">
            <w:pPr>
              <w:numPr>
                <w:ilvl w:val="0"/>
                <w:numId w:val="69"/>
              </w:numPr>
              <w:spacing w:after="0" w:line="276" w:lineRule="auto"/>
              <w:rPr>
                <w:bCs/>
                <w:iCs w:val="0"/>
                <w:sz w:val="18"/>
                <w:szCs w:val="14"/>
              </w:rPr>
            </w:pPr>
            <w:r w:rsidRPr="00F97146">
              <w:rPr>
                <w:bCs/>
                <w:iCs w:val="0"/>
                <w:sz w:val="18"/>
                <w:szCs w:val="14"/>
              </w:rPr>
              <w:t>software, cybersecurity</w:t>
            </w:r>
          </w:p>
          <w:p w14:paraId="18BB4CD1" w14:textId="77777777" w:rsidR="00F26E61" w:rsidRPr="00F97146" w:rsidRDefault="00F26E61" w:rsidP="00F26E61">
            <w:pPr>
              <w:numPr>
                <w:ilvl w:val="0"/>
                <w:numId w:val="69"/>
              </w:numPr>
              <w:spacing w:after="0" w:line="276" w:lineRule="auto"/>
              <w:rPr>
                <w:bCs/>
                <w:iCs w:val="0"/>
                <w:sz w:val="18"/>
                <w:szCs w:val="14"/>
              </w:rPr>
            </w:pPr>
            <w:r w:rsidRPr="00F97146">
              <w:rPr>
                <w:bCs/>
                <w:iCs w:val="0"/>
                <w:sz w:val="18"/>
                <w:szCs w:val="14"/>
              </w:rPr>
              <w:t>biocompatibility and materials science</w:t>
            </w:r>
          </w:p>
          <w:p w14:paraId="647EA2C0" w14:textId="77777777" w:rsidR="00F26E61" w:rsidRPr="00F97146" w:rsidRDefault="00F26E61" w:rsidP="00F26E61">
            <w:pPr>
              <w:numPr>
                <w:ilvl w:val="0"/>
                <w:numId w:val="69"/>
              </w:numPr>
              <w:spacing w:after="0" w:line="276" w:lineRule="auto"/>
              <w:rPr>
                <w:bCs/>
                <w:iCs w:val="0"/>
                <w:sz w:val="18"/>
                <w:szCs w:val="14"/>
              </w:rPr>
            </w:pPr>
            <w:r w:rsidRPr="00F97146">
              <w:rPr>
                <w:bCs/>
                <w:iCs w:val="0"/>
                <w:sz w:val="18"/>
                <w:szCs w:val="14"/>
              </w:rPr>
              <w:t>sterilisation and microbiology</w:t>
            </w:r>
          </w:p>
          <w:p w14:paraId="69367BC2" w14:textId="77777777" w:rsidR="00F26E61" w:rsidRPr="00F97146" w:rsidRDefault="00F26E61" w:rsidP="00F26E61">
            <w:pPr>
              <w:numPr>
                <w:ilvl w:val="0"/>
                <w:numId w:val="69"/>
              </w:numPr>
              <w:spacing w:after="0" w:line="276" w:lineRule="auto"/>
              <w:rPr>
                <w:bCs/>
                <w:iCs w:val="0"/>
                <w:sz w:val="18"/>
                <w:szCs w:val="14"/>
              </w:rPr>
            </w:pPr>
            <w:r w:rsidRPr="00F97146">
              <w:rPr>
                <w:bCs/>
                <w:iCs w:val="0"/>
                <w:sz w:val="18"/>
                <w:szCs w:val="14"/>
              </w:rPr>
              <w:t>ancillary medicinal substances</w:t>
            </w:r>
          </w:p>
          <w:p w14:paraId="6A36C3C6" w14:textId="77777777" w:rsidR="00F26E61" w:rsidRPr="00F97146" w:rsidRDefault="00F26E61" w:rsidP="00F26E61">
            <w:pPr>
              <w:numPr>
                <w:ilvl w:val="0"/>
                <w:numId w:val="69"/>
              </w:numPr>
              <w:spacing w:after="0" w:line="276" w:lineRule="auto"/>
              <w:rPr>
                <w:bCs/>
                <w:iCs w:val="0"/>
                <w:sz w:val="18"/>
                <w:szCs w:val="14"/>
              </w:rPr>
            </w:pPr>
            <w:r w:rsidRPr="00F97146">
              <w:rPr>
                <w:bCs/>
                <w:iCs w:val="0"/>
                <w:sz w:val="18"/>
                <w:szCs w:val="14"/>
              </w:rPr>
              <w:t>electrical safety</w:t>
            </w:r>
          </w:p>
          <w:p w14:paraId="52017E43" w14:textId="77777777" w:rsidR="00F26E61" w:rsidRPr="00F97146" w:rsidRDefault="00F26E61" w:rsidP="00F26E61">
            <w:pPr>
              <w:numPr>
                <w:ilvl w:val="0"/>
                <w:numId w:val="69"/>
              </w:numPr>
              <w:spacing w:after="0" w:line="276" w:lineRule="auto"/>
              <w:rPr>
                <w:bCs/>
                <w:iCs w:val="0"/>
                <w:sz w:val="18"/>
                <w:szCs w:val="14"/>
              </w:rPr>
            </w:pPr>
            <w:r w:rsidRPr="00F97146">
              <w:rPr>
                <w:bCs/>
                <w:iCs w:val="0"/>
                <w:sz w:val="18"/>
                <w:szCs w:val="14"/>
              </w:rPr>
              <w:t>GSPR</w:t>
            </w:r>
            <w:r w:rsidRPr="00F97146">
              <w:rPr>
                <w:bCs/>
                <w:iCs w:val="0"/>
                <w:sz w:val="18"/>
                <w:szCs w:val="14"/>
              </w:rPr>
              <w:noBreakHyphen/>
              <w:t>related horizontal competencies</w:t>
            </w:r>
          </w:p>
          <w:p w14:paraId="1E55A96F" w14:textId="77777777" w:rsidR="00F26E61" w:rsidRPr="00F97146" w:rsidRDefault="00F26E61" w:rsidP="00407A8E">
            <w:pPr>
              <w:spacing w:line="276" w:lineRule="auto"/>
              <w:rPr>
                <w:bCs/>
                <w:iCs w:val="0"/>
                <w:sz w:val="18"/>
                <w:szCs w:val="14"/>
              </w:rPr>
            </w:pPr>
          </w:p>
          <w:p w14:paraId="5751B9AD" w14:textId="77777777" w:rsidR="00F26E61" w:rsidRPr="00F97146" w:rsidRDefault="00F26E61" w:rsidP="00407A8E">
            <w:pPr>
              <w:spacing w:line="276" w:lineRule="auto"/>
              <w:rPr>
                <w:bCs/>
                <w:iCs w:val="0"/>
                <w:sz w:val="18"/>
                <w:szCs w:val="14"/>
              </w:rPr>
            </w:pPr>
            <w:r w:rsidRPr="00F97146">
              <w:rPr>
                <w:bCs/>
                <w:iCs w:val="0"/>
                <w:sz w:val="18"/>
                <w:szCs w:val="14"/>
              </w:rPr>
              <w:t>These experts are mobilised ad hoc across all Expert Panel functions.</w:t>
            </w:r>
          </w:p>
        </w:tc>
        <w:tc>
          <w:tcPr>
            <w:tcW w:w="5528" w:type="dxa"/>
            <w:tcBorders>
              <w:top w:val="single" w:sz="4" w:space="0" w:color="auto"/>
              <w:left w:val="single" w:sz="4" w:space="0" w:color="auto"/>
              <w:bottom w:val="single" w:sz="4" w:space="0" w:color="auto"/>
              <w:right w:val="single" w:sz="4" w:space="0" w:color="auto"/>
            </w:tcBorders>
          </w:tcPr>
          <w:p w14:paraId="754CFE15" w14:textId="77777777" w:rsidR="00F26E61" w:rsidRPr="00F97146" w:rsidRDefault="00F26E61" w:rsidP="00407A8E">
            <w:pPr>
              <w:spacing w:line="276" w:lineRule="auto"/>
              <w:rPr>
                <w:bCs/>
                <w:iCs w:val="0"/>
                <w:sz w:val="18"/>
                <w:szCs w:val="14"/>
              </w:rPr>
            </w:pPr>
            <w:r w:rsidRPr="00F97146">
              <w:rPr>
                <w:bCs/>
                <w:iCs w:val="0"/>
                <w:sz w:val="18"/>
                <w:szCs w:val="14"/>
              </w:rPr>
              <w:t xml:space="preserve">Introduction of: </w:t>
            </w:r>
          </w:p>
          <w:p w14:paraId="25BC5C79" w14:textId="77777777" w:rsidR="00F26E61" w:rsidRPr="00F97146" w:rsidRDefault="00F26E61" w:rsidP="00407A8E">
            <w:pPr>
              <w:spacing w:line="276" w:lineRule="auto"/>
              <w:rPr>
                <w:b/>
                <w:iCs w:val="0"/>
                <w:sz w:val="18"/>
                <w:szCs w:val="14"/>
              </w:rPr>
            </w:pPr>
            <w:r w:rsidRPr="00F97146">
              <w:rPr>
                <w:b/>
                <w:iCs w:val="0"/>
                <w:sz w:val="18"/>
                <w:szCs w:val="14"/>
              </w:rPr>
              <w:t>Standing Expert Panels</w:t>
            </w:r>
          </w:p>
          <w:p w14:paraId="463456B6" w14:textId="77777777" w:rsidR="00F26E61" w:rsidRPr="00F97146" w:rsidRDefault="00F26E61" w:rsidP="00F26E61">
            <w:pPr>
              <w:pStyle w:val="Paragraphedeliste"/>
              <w:numPr>
                <w:ilvl w:val="0"/>
                <w:numId w:val="70"/>
              </w:numPr>
              <w:spacing w:after="0" w:line="276" w:lineRule="auto"/>
              <w:rPr>
                <w:bCs/>
                <w:iCs w:val="0"/>
                <w:sz w:val="18"/>
                <w:szCs w:val="14"/>
              </w:rPr>
            </w:pPr>
            <w:r w:rsidRPr="00F97146">
              <w:rPr>
                <w:bCs/>
                <w:iCs w:val="0"/>
                <w:sz w:val="18"/>
                <w:szCs w:val="14"/>
              </w:rPr>
              <w:t>Screening Panel (CECP)</w:t>
            </w:r>
          </w:p>
          <w:p w14:paraId="60EF6C44" w14:textId="77777777" w:rsidR="00F26E61" w:rsidRPr="00F97146" w:rsidRDefault="00F26E61" w:rsidP="00F26E61">
            <w:pPr>
              <w:numPr>
                <w:ilvl w:val="0"/>
                <w:numId w:val="70"/>
              </w:numPr>
              <w:spacing w:after="0" w:line="276" w:lineRule="auto"/>
              <w:rPr>
                <w:iCs w:val="0"/>
                <w:sz w:val="18"/>
                <w:szCs w:val="14"/>
              </w:rPr>
            </w:pPr>
            <w:r w:rsidRPr="00F97146">
              <w:rPr>
                <w:iCs w:val="0"/>
                <w:sz w:val="18"/>
                <w:szCs w:val="14"/>
              </w:rPr>
              <w:t>Borderline &amp; Classification Standing Panel (Arts</w:t>
            </w:r>
            <w:r w:rsidRPr="00F97146">
              <w:rPr>
                <w:rFonts w:ascii="Arial" w:hAnsi="Arial" w:cs="Arial"/>
                <w:iCs w:val="0"/>
                <w:sz w:val="18"/>
                <w:szCs w:val="14"/>
              </w:rPr>
              <w:t> </w:t>
            </w:r>
            <w:r w:rsidRPr="00F97146">
              <w:rPr>
                <w:iCs w:val="0"/>
                <w:sz w:val="18"/>
                <w:szCs w:val="14"/>
              </w:rPr>
              <w:t>4a, 51a, 51b MDR)</w:t>
            </w:r>
          </w:p>
          <w:p w14:paraId="5C1958F9" w14:textId="77777777" w:rsidR="00F26E61" w:rsidRPr="00F97146" w:rsidRDefault="00F26E61" w:rsidP="00F26E61">
            <w:pPr>
              <w:numPr>
                <w:ilvl w:val="0"/>
                <w:numId w:val="70"/>
              </w:numPr>
              <w:spacing w:after="0" w:line="276" w:lineRule="auto"/>
              <w:rPr>
                <w:iCs w:val="0"/>
                <w:sz w:val="18"/>
                <w:szCs w:val="14"/>
              </w:rPr>
            </w:pPr>
            <w:proofErr w:type="spellStart"/>
            <w:r w:rsidRPr="00F97146">
              <w:rPr>
                <w:iCs w:val="0"/>
                <w:sz w:val="18"/>
                <w:szCs w:val="14"/>
              </w:rPr>
              <w:t>BtX</w:t>
            </w:r>
            <w:proofErr w:type="spellEnd"/>
            <w:r w:rsidRPr="00F97146">
              <w:rPr>
                <w:iCs w:val="0"/>
                <w:sz w:val="18"/>
                <w:szCs w:val="14"/>
              </w:rPr>
              <w:t xml:space="preserve"> and Orphan Standing Panels (Art</w:t>
            </w:r>
            <w:r w:rsidRPr="00F97146">
              <w:rPr>
                <w:rFonts w:ascii="Arial" w:hAnsi="Arial" w:cs="Arial"/>
                <w:iCs w:val="0"/>
                <w:sz w:val="18"/>
                <w:szCs w:val="14"/>
              </w:rPr>
              <w:t> </w:t>
            </w:r>
            <w:r w:rsidRPr="00F97146">
              <w:rPr>
                <w:iCs w:val="0"/>
                <w:sz w:val="18"/>
                <w:szCs w:val="14"/>
              </w:rPr>
              <w:t>52a MDR) (48a IVDR)</w:t>
            </w:r>
          </w:p>
          <w:p w14:paraId="5377345A" w14:textId="77777777" w:rsidR="00F26E61" w:rsidRPr="00F97146" w:rsidRDefault="00F26E61" w:rsidP="00407A8E">
            <w:pPr>
              <w:spacing w:line="276" w:lineRule="auto"/>
              <w:rPr>
                <w:bCs/>
                <w:iCs w:val="0"/>
                <w:sz w:val="18"/>
                <w:szCs w:val="14"/>
              </w:rPr>
            </w:pPr>
            <w:r w:rsidRPr="00F97146">
              <w:rPr>
                <w:bCs/>
                <w:iCs w:val="0"/>
                <w:sz w:val="18"/>
                <w:szCs w:val="14"/>
              </w:rPr>
              <w:t>Shared characteristics:</w:t>
            </w:r>
          </w:p>
          <w:p w14:paraId="1F20501E" w14:textId="77777777" w:rsidR="00F26E61" w:rsidRPr="00F97146" w:rsidRDefault="00F26E61" w:rsidP="00F26E61">
            <w:pPr>
              <w:numPr>
                <w:ilvl w:val="0"/>
                <w:numId w:val="71"/>
              </w:numPr>
              <w:spacing w:after="0" w:line="276" w:lineRule="auto"/>
              <w:rPr>
                <w:bCs/>
                <w:iCs w:val="0"/>
                <w:sz w:val="18"/>
                <w:szCs w:val="14"/>
              </w:rPr>
            </w:pPr>
            <w:r w:rsidRPr="00F97146">
              <w:rPr>
                <w:bCs/>
                <w:iCs w:val="0"/>
                <w:sz w:val="18"/>
                <w:szCs w:val="14"/>
              </w:rPr>
              <w:t>stable membership</w:t>
            </w:r>
          </w:p>
          <w:p w14:paraId="35AE4632" w14:textId="77777777" w:rsidR="00F26E61" w:rsidRPr="00F97146" w:rsidRDefault="00F26E61" w:rsidP="00F26E61">
            <w:pPr>
              <w:numPr>
                <w:ilvl w:val="0"/>
                <w:numId w:val="71"/>
              </w:numPr>
              <w:spacing w:after="0" w:line="276" w:lineRule="auto"/>
              <w:rPr>
                <w:bCs/>
                <w:iCs w:val="0"/>
                <w:sz w:val="18"/>
                <w:szCs w:val="14"/>
              </w:rPr>
            </w:pPr>
            <w:r w:rsidRPr="00F97146">
              <w:rPr>
                <w:bCs/>
                <w:iCs w:val="0"/>
                <w:sz w:val="18"/>
                <w:szCs w:val="14"/>
              </w:rPr>
              <w:t>Member State representation</w:t>
            </w:r>
          </w:p>
          <w:p w14:paraId="79C7C7F3" w14:textId="77777777" w:rsidR="00F26E61" w:rsidRPr="00F97146" w:rsidRDefault="00F26E61" w:rsidP="00F26E61">
            <w:pPr>
              <w:numPr>
                <w:ilvl w:val="0"/>
                <w:numId w:val="71"/>
              </w:numPr>
              <w:spacing w:after="0" w:line="276" w:lineRule="auto"/>
              <w:rPr>
                <w:bCs/>
                <w:iCs w:val="0"/>
                <w:sz w:val="18"/>
                <w:szCs w:val="14"/>
              </w:rPr>
            </w:pPr>
            <w:r w:rsidRPr="00F97146">
              <w:rPr>
                <w:bCs/>
                <w:iCs w:val="0"/>
                <w:sz w:val="18"/>
                <w:szCs w:val="14"/>
              </w:rPr>
              <w:t>academic and NB experts under Art</w:t>
            </w:r>
            <w:r w:rsidRPr="00F97146">
              <w:rPr>
                <w:rFonts w:ascii="Arial" w:hAnsi="Arial" w:cs="Arial"/>
                <w:bCs/>
                <w:iCs w:val="0"/>
                <w:sz w:val="18"/>
                <w:szCs w:val="14"/>
              </w:rPr>
              <w:t> </w:t>
            </w:r>
            <w:r w:rsidRPr="00F97146">
              <w:rPr>
                <w:bCs/>
                <w:iCs w:val="0"/>
                <w:sz w:val="18"/>
                <w:szCs w:val="14"/>
              </w:rPr>
              <w:t>106(6)</w:t>
            </w:r>
          </w:p>
          <w:p w14:paraId="004EA2AD" w14:textId="77777777" w:rsidR="00F26E61" w:rsidRPr="00F97146" w:rsidRDefault="00F26E61" w:rsidP="00F26E61">
            <w:pPr>
              <w:numPr>
                <w:ilvl w:val="0"/>
                <w:numId w:val="71"/>
              </w:numPr>
              <w:spacing w:after="0" w:line="276" w:lineRule="auto"/>
              <w:rPr>
                <w:bCs/>
                <w:iCs w:val="0"/>
                <w:sz w:val="18"/>
                <w:szCs w:val="14"/>
              </w:rPr>
            </w:pPr>
            <w:r w:rsidRPr="00F97146">
              <w:rPr>
                <w:bCs/>
                <w:iCs w:val="0"/>
                <w:sz w:val="18"/>
                <w:szCs w:val="14"/>
              </w:rPr>
              <w:t>ability to support Commission implementing acts (Arts</w:t>
            </w:r>
            <w:r w:rsidRPr="00F97146">
              <w:rPr>
                <w:rFonts w:ascii="Arial" w:hAnsi="Arial" w:cs="Arial"/>
                <w:bCs/>
                <w:iCs w:val="0"/>
                <w:sz w:val="18"/>
                <w:szCs w:val="14"/>
              </w:rPr>
              <w:t> </w:t>
            </w:r>
            <w:r w:rsidRPr="00F97146">
              <w:rPr>
                <w:bCs/>
                <w:iCs w:val="0"/>
                <w:sz w:val="18"/>
                <w:szCs w:val="14"/>
              </w:rPr>
              <w:t>4a(3), 51a(6), 51b(6) MDR) (3a(3), 47a(6), 47b (6) IVDR)</w:t>
            </w:r>
          </w:p>
          <w:p w14:paraId="63C381D0" w14:textId="77777777" w:rsidR="00F26E61" w:rsidRPr="00F97146" w:rsidRDefault="00F26E61" w:rsidP="00407A8E">
            <w:pPr>
              <w:spacing w:line="276" w:lineRule="auto"/>
              <w:rPr>
                <w:bCs/>
                <w:iCs w:val="0"/>
                <w:sz w:val="18"/>
                <w:szCs w:val="14"/>
              </w:rPr>
            </w:pPr>
          </w:p>
          <w:p w14:paraId="5E5806E4" w14:textId="77777777" w:rsidR="00F26E61" w:rsidRPr="00F97146" w:rsidRDefault="00F26E61" w:rsidP="00407A8E">
            <w:pPr>
              <w:spacing w:line="276" w:lineRule="auto"/>
              <w:rPr>
                <w:bCs/>
                <w:iCs w:val="0"/>
                <w:sz w:val="18"/>
                <w:szCs w:val="14"/>
              </w:rPr>
            </w:pPr>
            <w:r w:rsidRPr="00F97146">
              <w:rPr>
                <w:b/>
                <w:iCs w:val="0"/>
                <w:sz w:val="18"/>
                <w:szCs w:val="14"/>
              </w:rPr>
              <w:t>Clinical Expert Panels</w:t>
            </w:r>
          </w:p>
          <w:p w14:paraId="720D4A7E" w14:textId="77777777" w:rsidR="00F26E61" w:rsidRPr="00F97146" w:rsidRDefault="00F26E61" w:rsidP="00407A8E">
            <w:pPr>
              <w:spacing w:line="276" w:lineRule="auto"/>
              <w:rPr>
                <w:bCs/>
                <w:iCs w:val="0"/>
                <w:sz w:val="18"/>
                <w:szCs w:val="14"/>
              </w:rPr>
            </w:pPr>
            <w:r w:rsidRPr="00F97146">
              <w:rPr>
                <w:bCs/>
                <w:iCs w:val="0"/>
                <w:sz w:val="18"/>
                <w:szCs w:val="14"/>
              </w:rPr>
              <w:t>Advisory functions under:</w:t>
            </w:r>
          </w:p>
          <w:p w14:paraId="02EFB2AC" w14:textId="77777777" w:rsidR="00F26E61" w:rsidRPr="00F97146" w:rsidRDefault="00F26E61" w:rsidP="00F26E61">
            <w:pPr>
              <w:numPr>
                <w:ilvl w:val="0"/>
                <w:numId w:val="72"/>
              </w:numPr>
              <w:spacing w:after="0" w:line="276" w:lineRule="auto"/>
              <w:rPr>
                <w:bCs/>
                <w:iCs w:val="0"/>
                <w:sz w:val="18"/>
                <w:szCs w:val="14"/>
              </w:rPr>
            </w:pPr>
            <w:r w:rsidRPr="00F97146">
              <w:rPr>
                <w:bCs/>
                <w:iCs w:val="0"/>
                <w:sz w:val="18"/>
                <w:szCs w:val="14"/>
              </w:rPr>
              <w:t>Art</w:t>
            </w:r>
            <w:r w:rsidRPr="00F97146">
              <w:rPr>
                <w:rFonts w:ascii="Arial" w:hAnsi="Arial" w:cs="Arial"/>
                <w:bCs/>
                <w:iCs w:val="0"/>
                <w:sz w:val="18"/>
                <w:szCs w:val="14"/>
              </w:rPr>
              <w:t> </w:t>
            </w:r>
            <w:r w:rsidRPr="00F97146">
              <w:rPr>
                <w:bCs/>
                <w:iCs w:val="0"/>
                <w:sz w:val="18"/>
                <w:szCs w:val="14"/>
              </w:rPr>
              <w:t>61(2) MDR – early scientific input on clinical development</w:t>
            </w:r>
          </w:p>
          <w:p w14:paraId="40A61D5E" w14:textId="77777777" w:rsidR="00F26E61" w:rsidRPr="00F97146" w:rsidRDefault="00F26E61" w:rsidP="00F26E61">
            <w:pPr>
              <w:numPr>
                <w:ilvl w:val="0"/>
                <w:numId w:val="72"/>
              </w:numPr>
              <w:spacing w:after="0" w:line="276" w:lineRule="auto"/>
              <w:rPr>
                <w:bCs/>
                <w:iCs w:val="0"/>
                <w:sz w:val="18"/>
                <w:szCs w:val="14"/>
              </w:rPr>
            </w:pPr>
            <w:r w:rsidRPr="00F97146">
              <w:rPr>
                <w:bCs/>
                <w:iCs w:val="0"/>
                <w:sz w:val="18"/>
                <w:szCs w:val="14"/>
              </w:rPr>
              <w:t>Art</w:t>
            </w:r>
            <w:r w:rsidRPr="00F97146">
              <w:rPr>
                <w:rFonts w:ascii="Arial" w:hAnsi="Arial" w:cs="Arial"/>
                <w:bCs/>
                <w:iCs w:val="0"/>
                <w:sz w:val="18"/>
                <w:szCs w:val="14"/>
              </w:rPr>
              <w:t> </w:t>
            </w:r>
            <w:r w:rsidRPr="00F97146">
              <w:rPr>
                <w:bCs/>
                <w:iCs w:val="0"/>
                <w:sz w:val="18"/>
                <w:szCs w:val="14"/>
              </w:rPr>
              <w:t>56 IVDR – early scientific input on performance evaluation</w:t>
            </w:r>
          </w:p>
          <w:p w14:paraId="3FC1716C" w14:textId="77777777" w:rsidR="00F26E61" w:rsidRPr="00F97146" w:rsidRDefault="00F26E61" w:rsidP="00407A8E">
            <w:pPr>
              <w:spacing w:line="276" w:lineRule="auto"/>
              <w:rPr>
                <w:bCs/>
                <w:iCs w:val="0"/>
                <w:sz w:val="18"/>
                <w:szCs w:val="14"/>
              </w:rPr>
            </w:pPr>
            <w:r w:rsidRPr="00F97146">
              <w:rPr>
                <w:bCs/>
                <w:iCs w:val="0"/>
                <w:sz w:val="18"/>
                <w:szCs w:val="14"/>
              </w:rPr>
              <w:t>Explicitly not CECP, consistent with Art</w:t>
            </w:r>
            <w:r w:rsidRPr="00F97146">
              <w:rPr>
                <w:rFonts w:ascii="Arial" w:hAnsi="Arial" w:cs="Arial"/>
                <w:bCs/>
                <w:iCs w:val="0"/>
                <w:sz w:val="18"/>
                <w:szCs w:val="14"/>
              </w:rPr>
              <w:t> </w:t>
            </w:r>
            <w:r w:rsidRPr="00F97146">
              <w:rPr>
                <w:bCs/>
                <w:iCs w:val="0"/>
                <w:sz w:val="18"/>
                <w:szCs w:val="14"/>
              </w:rPr>
              <w:t>106(6).</w:t>
            </w:r>
          </w:p>
          <w:p w14:paraId="7B2917A5" w14:textId="77777777" w:rsidR="00F26E61" w:rsidRPr="00F97146" w:rsidRDefault="00F26E61" w:rsidP="00407A8E">
            <w:pPr>
              <w:spacing w:line="276" w:lineRule="auto"/>
              <w:rPr>
                <w:bCs/>
                <w:iCs w:val="0"/>
                <w:sz w:val="18"/>
                <w:szCs w:val="14"/>
              </w:rPr>
            </w:pPr>
          </w:p>
          <w:p w14:paraId="727D05DB" w14:textId="77777777" w:rsidR="00F26E61" w:rsidRPr="00F97146" w:rsidRDefault="00F26E61" w:rsidP="00407A8E">
            <w:pPr>
              <w:spacing w:line="276" w:lineRule="auto"/>
              <w:rPr>
                <w:bCs/>
                <w:iCs w:val="0"/>
                <w:sz w:val="18"/>
                <w:szCs w:val="14"/>
              </w:rPr>
            </w:pPr>
            <w:r w:rsidRPr="00F97146">
              <w:rPr>
                <w:b/>
                <w:iCs w:val="0"/>
                <w:sz w:val="18"/>
                <w:szCs w:val="14"/>
              </w:rPr>
              <w:lastRenderedPageBreak/>
              <w:t>Central Expert List</w:t>
            </w:r>
          </w:p>
          <w:p w14:paraId="41569892" w14:textId="77777777" w:rsidR="00F26E61" w:rsidRPr="00F97146" w:rsidRDefault="00F26E61" w:rsidP="00407A8E">
            <w:pPr>
              <w:spacing w:line="276" w:lineRule="auto"/>
              <w:rPr>
                <w:bCs/>
                <w:iCs w:val="0"/>
                <w:sz w:val="18"/>
                <w:szCs w:val="14"/>
              </w:rPr>
            </w:pPr>
            <w:r w:rsidRPr="00F97146">
              <w:rPr>
                <w:bCs/>
                <w:iCs w:val="0"/>
                <w:sz w:val="18"/>
                <w:szCs w:val="14"/>
              </w:rPr>
              <w:t>Art</w:t>
            </w:r>
            <w:r w:rsidRPr="00F97146">
              <w:rPr>
                <w:rFonts w:ascii="Arial" w:hAnsi="Arial" w:cs="Arial"/>
                <w:bCs/>
                <w:iCs w:val="0"/>
                <w:sz w:val="18"/>
                <w:szCs w:val="14"/>
              </w:rPr>
              <w:t> </w:t>
            </w:r>
            <w:r w:rsidRPr="00F97146">
              <w:rPr>
                <w:bCs/>
                <w:iCs w:val="0"/>
                <w:sz w:val="18"/>
                <w:szCs w:val="14"/>
              </w:rPr>
              <w:t>106(2) pool of cross</w:t>
            </w:r>
            <w:r w:rsidRPr="00F97146">
              <w:rPr>
                <w:bCs/>
                <w:iCs w:val="0"/>
                <w:sz w:val="18"/>
                <w:szCs w:val="14"/>
              </w:rPr>
              <w:noBreakHyphen/>
              <w:t>cutting technical and regulatory experts.</w:t>
            </w:r>
          </w:p>
          <w:p w14:paraId="3227F62D" w14:textId="77777777" w:rsidR="00F26E61" w:rsidRPr="00F97146" w:rsidRDefault="00F26E61" w:rsidP="00407A8E">
            <w:pPr>
              <w:spacing w:line="276" w:lineRule="auto"/>
              <w:rPr>
                <w:bCs/>
                <w:iCs w:val="0"/>
                <w:sz w:val="18"/>
                <w:szCs w:val="14"/>
              </w:rPr>
            </w:pPr>
          </w:p>
          <w:p w14:paraId="421BEDB8" w14:textId="77777777" w:rsidR="00F26E61" w:rsidRPr="00F97146" w:rsidRDefault="00F26E61" w:rsidP="00407A8E">
            <w:pPr>
              <w:spacing w:line="276" w:lineRule="auto"/>
              <w:rPr>
                <w:bCs/>
                <w:iCs w:val="0"/>
                <w:sz w:val="18"/>
                <w:szCs w:val="14"/>
              </w:rPr>
            </w:pPr>
            <w:r w:rsidRPr="00F97146">
              <w:rPr>
                <w:b/>
                <w:iCs w:val="0"/>
                <w:sz w:val="18"/>
                <w:szCs w:val="14"/>
              </w:rPr>
              <w:t>Overall interaction</w:t>
            </w:r>
          </w:p>
          <w:p w14:paraId="447B8FB9" w14:textId="77777777" w:rsidR="00F26E61" w:rsidRPr="00F97146" w:rsidRDefault="00F26E61" w:rsidP="00407A8E">
            <w:pPr>
              <w:spacing w:line="276" w:lineRule="auto"/>
              <w:rPr>
                <w:bCs/>
                <w:iCs w:val="0"/>
                <w:sz w:val="18"/>
                <w:szCs w:val="14"/>
              </w:rPr>
            </w:pPr>
            <w:r w:rsidRPr="00F97146">
              <w:rPr>
                <w:bCs/>
                <w:iCs w:val="0"/>
                <w:sz w:val="18"/>
                <w:szCs w:val="14"/>
              </w:rPr>
              <w:t>The structure ensures:</w:t>
            </w:r>
          </w:p>
          <w:p w14:paraId="53458AEA" w14:textId="77777777" w:rsidR="00F26E61" w:rsidRPr="00F97146" w:rsidRDefault="00F26E61" w:rsidP="00F26E61">
            <w:pPr>
              <w:numPr>
                <w:ilvl w:val="0"/>
                <w:numId w:val="73"/>
              </w:numPr>
              <w:spacing w:after="0" w:line="276" w:lineRule="auto"/>
              <w:rPr>
                <w:bCs/>
                <w:iCs w:val="0"/>
                <w:sz w:val="18"/>
                <w:szCs w:val="14"/>
              </w:rPr>
            </w:pPr>
            <w:r w:rsidRPr="00F97146">
              <w:rPr>
                <w:bCs/>
                <w:iCs w:val="0"/>
                <w:sz w:val="18"/>
                <w:szCs w:val="14"/>
              </w:rPr>
              <w:t>consistent classification and borderline decisions (Arts</w:t>
            </w:r>
            <w:r w:rsidRPr="00F97146">
              <w:rPr>
                <w:rFonts w:ascii="Arial" w:hAnsi="Arial" w:cs="Arial"/>
                <w:bCs/>
                <w:iCs w:val="0"/>
                <w:sz w:val="18"/>
                <w:szCs w:val="14"/>
              </w:rPr>
              <w:t> </w:t>
            </w:r>
            <w:r w:rsidRPr="00F97146">
              <w:rPr>
                <w:bCs/>
                <w:iCs w:val="0"/>
                <w:sz w:val="18"/>
                <w:szCs w:val="14"/>
              </w:rPr>
              <w:t>4a, 51a, 51b MDR) (3a, 47a, 47b IVDR)</w:t>
            </w:r>
          </w:p>
          <w:p w14:paraId="2DEF23A0" w14:textId="77777777" w:rsidR="00F26E61" w:rsidRPr="00F97146" w:rsidRDefault="00F26E61" w:rsidP="00F26E61">
            <w:pPr>
              <w:numPr>
                <w:ilvl w:val="0"/>
                <w:numId w:val="73"/>
              </w:numPr>
              <w:spacing w:after="0" w:line="276" w:lineRule="auto"/>
              <w:rPr>
                <w:bCs/>
                <w:iCs w:val="0"/>
                <w:sz w:val="18"/>
                <w:szCs w:val="14"/>
              </w:rPr>
            </w:pPr>
            <w:r w:rsidRPr="00F97146">
              <w:rPr>
                <w:bCs/>
                <w:iCs w:val="0"/>
                <w:sz w:val="18"/>
                <w:szCs w:val="14"/>
              </w:rPr>
              <w:t xml:space="preserve">structured </w:t>
            </w:r>
            <w:proofErr w:type="spellStart"/>
            <w:r w:rsidRPr="00F97146">
              <w:rPr>
                <w:bCs/>
                <w:iCs w:val="0"/>
                <w:sz w:val="18"/>
                <w:szCs w:val="14"/>
              </w:rPr>
              <w:t>BtX</w:t>
            </w:r>
            <w:proofErr w:type="spellEnd"/>
            <w:r w:rsidRPr="00F97146">
              <w:rPr>
                <w:bCs/>
                <w:iCs w:val="0"/>
                <w:sz w:val="18"/>
                <w:szCs w:val="14"/>
              </w:rPr>
              <w:t>/Orphan pathways (Arts</w:t>
            </w:r>
            <w:r w:rsidRPr="00F97146">
              <w:rPr>
                <w:rFonts w:ascii="Arial" w:hAnsi="Arial" w:cs="Arial"/>
                <w:bCs/>
                <w:iCs w:val="0"/>
                <w:sz w:val="18"/>
                <w:szCs w:val="14"/>
              </w:rPr>
              <w:t> </w:t>
            </w:r>
            <w:r w:rsidRPr="00F97146">
              <w:rPr>
                <w:bCs/>
                <w:iCs w:val="0"/>
                <w:sz w:val="18"/>
                <w:szCs w:val="14"/>
              </w:rPr>
              <w:t>52a MDR) (48a IVDR)</w:t>
            </w:r>
          </w:p>
          <w:p w14:paraId="4A368B30" w14:textId="77777777" w:rsidR="00F26E61" w:rsidRPr="00F97146" w:rsidRDefault="00F26E61" w:rsidP="00F26E61">
            <w:pPr>
              <w:numPr>
                <w:ilvl w:val="0"/>
                <w:numId w:val="73"/>
              </w:numPr>
              <w:spacing w:after="0" w:line="276" w:lineRule="auto"/>
              <w:rPr>
                <w:bCs/>
                <w:iCs w:val="0"/>
                <w:sz w:val="18"/>
                <w:szCs w:val="14"/>
              </w:rPr>
            </w:pPr>
            <w:r w:rsidRPr="00F97146">
              <w:rPr>
                <w:bCs/>
                <w:iCs w:val="0"/>
                <w:sz w:val="18"/>
                <w:szCs w:val="14"/>
              </w:rPr>
              <w:t>consistent scientific advice for clinical/performance development</w:t>
            </w:r>
          </w:p>
          <w:p w14:paraId="29869704" w14:textId="77777777" w:rsidR="00F26E61" w:rsidRPr="00F97146" w:rsidRDefault="00F26E61" w:rsidP="00F26E61">
            <w:pPr>
              <w:numPr>
                <w:ilvl w:val="0"/>
                <w:numId w:val="73"/>
              </w:numPr>
              <w:spacing w:after="0" w:line="276" w:lineRule="auto"/>
              <w:rPr>
                <w:bCs/>
                <w:iCs w:val="0"/>
                <w:sz w:val="18"/>
                <w:szCs w:val="14"/>
              </w:rPr>
            </w:pPr>
            <w:r w:rsidRPr="00F97146">
              <w:rPr>
                <w:bCs/>
                <w:iCs w:val="0"/>
                <w:sz w:val="18"/>
                <w:szCs w:val="14"/>
              </w:rPr>
              <w:t>access to specialised expertise across all panels</w:t>
            </w:r>
          </w:p>
          <w:p w14:paraId="2B5C417B" w14:textId="77777777" w:rsidR="00F26E61" w:rsidRPr="00F97146" w:rsidRDefault="00F26E61" w:rsidP="00F26E61">
            <w:pPr>
              <w:numPr>
                <w:ilvl w:val="0"/>
                <w:numId w:val="73"/>
              </w:numPr>
              <w:spacing w:after="0" w:line="276" w:lineRule="auto"/>
              <w:rPr>
                <w:bCs/>
                <w:iCs w:val="0"/>
                <w:sz w:val="18"/>
                <w:szCs w:val="14"/>
              </w:rPr>
            </w:pPr>
            <w:r w:rsidRPr="00F97146">
              <w:rPr>
                <w:bCs/>
                <w:iCs w:val="0"/>
                <w:sz w:val="18"/>
                <w:szCs w:val="14"/>
              </w:rPr>
              <w:t>EMA secretariat support under Art</w:t>
            </w:r>
            <w:r w:rsidRPr="00F97146">
              <w:rPr>
                <w:rFonts w:ascii="Arial" w:hAnsi="Arial" w:cs="Arial"/>
                <w:bCs/>
                <w:iCs w:val="0"/>
                <w:sz w:val="18"/>
                <w:szCs w:val="14"/>
              </w:rPr>
              <w:t> </w:t>
            </w:r>
            <w:r w:rsidRPr="00F97146">
              <w:rPr>
                <w:bCs/>
                <w:iCs w:val="0"/>
                <w:sz w:val="18"/>
                <w:szCs w:val="14"/>
              </w:rPr>
              <w:t>106(4)</w:t>
            </w:r>
          </w:p>
          <w:p w14:paraId="0D48DB09" w14:textId="77777777" w:rsidR="00F26E61" w:rsidRPr="00F97146" w:rsidRDefault="00F26E61" w:rsidP="00F26E61">
            <w:pPr>
              <w:numPr>
                <w:ilvl w:val="0"/>
                <w:numId w:val="73"/>
              </w:numPr>
              <w:spacing w:after="0" w:line="276" w:lineRule="auto"/>
              <w:rPr>
                <w:bCs/>
                <w:iCs w:val="0"/>
                <w:sz w:val="18"/>
                <w:szCs w:val="14"/>
              </w:rPr>
            </w:pPr>
            <w:r w:rsidRPr="00F97146">
              <w:rPr>
                <w:bCs/>
                <w:iCs w:val="0"/>
                <w:sz w:val="18"/>
                <w:szCs w:val="14"/>
              </w:rPr>
              <w:t>Relevant NB experts can contribute without affecting NB organisational capacity.</w:t>
            </w:r>
          </w:p>
        </w:tc>
      </w:tr>
      <w:tr w:rsidR="00F26E61" w:rsidRPr="00F97146" w14:paraId="11AA9969" w14:textId="77777777" w:rsidTr="0022597C">
        <w:tc>
          <w:tcPr>
            <w:tcW w:w="568" w:type="dxa"/>
          </w:tcPr>
          <w:p w14:paraId="23FCC865" w14:textId="77777777" w:rsidR="00F26E61" w:rsidRPr="00F97146" w:rsidRDefault="00F26E61" w:rsidP="00407A8E">
            <w:pPr>
              <w:spacing w:line="276" w:lineRule="auto"/>
              <w:ind w:left="-48" w:firstLine="6"/>
              <w:jc w:val="center"/>
              <w:rPr>
                <w:rFonts w:eastAsia="Segoe UI" w:cs="Segoe UI"/>
                <w:iCs w:val="0"/>
                <w:sz w:val="18"/>
                <w:szCs w:val="14"/>
              </w:rPr>
            </w:pPr>
            <w:r w:rsidRPr="00F97146">
              <w:rPr>
                <w:rFonts w:eastAsia="Segoe UI" w:cs="Segoe UI"/>
                <w:iCs w:val="0"/>
                <w:sz w:val="18"/>
                <w:szCs w:val="14"/>
              </w:rPr>
              <w:lastRenderedPageBreak/>
              <w:t>41</w:t>
            </w:r>
          </w:p>
        </w:tc>
        <w:tc>
          <w:tcPr>
            <w:tcW w:w="1134" w:type="dxa"/>
            <w:tcBorders>
              <w:top w:val="single" w:sz="4" w:space="0" w:color="auto"/>
              <w:left w:val="single" w:sz="4" w:space="0" w:color="auto"/>
              <w:bottom w:val="single" w:sz="4" w:space="0" w:color="auto"/>
              <w:right w:val="single" w:sz="4" w:space="0" w:color="auto"/>
            </w:tcBorders>
          </w:tcPr>
          <w:p w14:paraId="33A08AD5" w14:textId="77777777" w:rsidR="00F26E61" w:rsidRPr="00F97146" w:rsidDel="00197808" w:rsidRDefault="00F26E61" w:rsidP="00407A8E">
            <w:pPr>
              <w:spacing w:line="276" w:lineRule="auto"/>
              <w:ind w:left="-48" w:firstLine="6"/>
              <w:jc w:val="center"/>
              <w:rPr>
                <w:rFonts w:eastAsia="Segoe UI" w:cs="Segoe UI"/>
                <w:iCs w:val="0"/>
                <w:sz w:val="18"/>
                <w:szCs w:val="14"/>
              </w:rPr>
            </w:pPr>
            <w:r w:rsidRPr="00F97146">
              <w:rPr>
                <w:rFonts w:eastAsia="Segoe UI" w:cs="Segoe UI"/>
                <w:iCs w:val="0"/>
                <w:sz w:val="18"/>
                <w:szCs w:val="14"/>
              </w:rPr>
              <w:t>90</w:t>
            </w:r>
          </w:p>
        </w:tc>
        <w:tc>
          <w:tcPr>
            <w:tcW w:w="1114" w:type="dxa"/>
            <w:tcBorders>
              <w:top w:val="single" w:sz="4" w:space="0" w:color="auto"/>
              <w:left w:val="single" w:sz="4" w:space="0" w:color="auto"/>
              <w:bottom w:val="single" w:sz="4" w:space="0" w:color="auto"/>
              <w:right w:val="single" w:sz="4" w:space="0" w:color="auto"/>
            </w:tcBorders>
          </w:tcPr>
          <w:p w14:paraId="30FAD370" w14:textId="77777777" w:rsidR="00F26E61" w:rsidRPr="00F97146" w:rsidRDefault="00F26E61" w:rsidP="00407A8E">
            <w:pPr>
              <w:spacing w:line="276" w:lineRule="auto"/>
              <w:ind w:left="75"/>
              <w:jc w:val="center"/>
              <w:rPr>
                <w:rFonts w:eastAsia="Segoe UI" w:cs="Segoe UI"/>
                <w:iCs w:val="0"/>
                <w:sz w:val="18"/>
                <w:szCs w:val="14"/>
              </w:rPr>
            </w:pPr>
            <w:r w:rsidRPr="00F97146">
              <w:rPr>
                <w:rFonts w:eastAsia="Segoe UI" w:cs="Segoe UI"/>
                <w:iCs w:val="0"/>
                <w:sz w:val="18"/>
                <w:szCs w:val="14"/>
              </w:rPr>
              <w:t>2</w:t>
            </w:r>
          </w:p>
        </w:tc>
        <w:tc>
          <w:tcPr>
            <w:tcW w:w="1134" w:type="dxa"/>
            <w:tcBorders>
              <w:top w:val="single" w:sz="4" w:space="0" w:color="auto"/>
              <w:left w:val="single" w:sz="4" w:space="0" w:color="auto"/>
              <w:bottom w:val="single" w:sz="4" w:space="0" w:color="auto"/>
              <w:right w:val="single" w:sz="4" w:space="0" w:color="auto"/>
            </w:tcBorders>
          </w:tcPr>
          <w:p w14:paraId="218E4329" w14:textId="77777777" w:rsidR="00F26E61" w:rsidRPr="00F97146" w:rsidRDefault="00F26E61" w:rsidP="00407A8E">
            <w:pPr>
              <w:spacing w:line="276" w:lineRule="auto"/>
              <w:jc w:val="center"/>
              <w:rPr>
                <w:rFonts w:eastAsia="Segoe UI" w:cs="Segoe UI"/>
                <w:iCs w:val="0"/>
                <w:sz w:val="18"/>
                <w:szCs w:val="14"/>
              </w:rPr>
            </w:pPr>
            <w:r w:rsidRPr="00F97146">
              <w:rPr>
                <w:rFonts w:eastAsia="Segoe UI" w:cs="Segoe UI"/>
                <w:iCs w:val="0"/>
                <w:sz w:val="18"/>
                <w:szCs w:val="14"/>
              </w:rPr>
              <w:t>1</w:t>
            </w:r>
          </w:p>
        </w:tc>
        <w:tc>
          <w:tcPr>
            <w:tcW w:w="1134" w:type="dxa"/>
            <w:tcBorders>
              <w:top w:val="single" w:sz="4" w:space="0" w:color="auto"/>
              <w:left w:val="single" w:sz="4" w:space="0" w:color="auto"/>
              <w:bottom w:val="single" w:sz="4" w:space="0" w:color="auto"/>
              <w:right w:val="single" w:sz="4" w:space="0" w:color="auto"/>
            </w:tcBorders>
          </w:tcPr>
          <w:p w14:paraId="69B33CB5" w14:textId="77777777" w:rsidR="00F26E61" w:rsidRPr="00F97146" w:rsidRDefault="00F26E61" w:rsidP="00407A8E">
            <w:pPr>
              <w:jc w:val="center"/>
              <w:rPr>
                <w:rFonts w:eastAsia="Segoe UI" w:cs="Segoe UI"/>
                <w:iCs w:val="0"/>
                <w:sz w:val="18"/>
                <w:szCs w:val="14"/>
              </w:rPr>
            </w:pPr>
          </w:p>
        </w:tc>
        <w:tc>
          <w:tcPr>
            <w:tcW w:w="4840" w:type="dxa"/>
            <w:tcBorders>
              <w:top w:val="single" w:sz="4" w:space="0" w:color="auto"/>
              <w:left w:val="single" w:sz="4" w:space="0" w:color="auto"/>
              <w:bottom w:val="single" w:sz="4" w:space="0" w:color="auto"/>
              <w:right w:val="single" w:sz="4" w:space="0" w:color="auto"/>
            </w:tcBorders>
          </w:tcPr>
          <w:p w14:paraId="1C2CCA2B" w14:textId="77777777" w:rsidR="00F26E61" w:rsidRPr="00F97146" w:rsidRDefault="00F26E61" w:rsidP="00407A8E">
            <w:pPr>
              <w:spacing w:before="60"/>
              <w:rPr>
                <w:rFonts w:eastAsia="Segoe UI" w:cs="Segoe UI"/>
                <w:iCs w:val="0"/>
                <w:sz w:val="18"/>
                <w:szCs w:val="14"/>
              </w:rPr>
            </w:pPr>
            <w:r w:rsidRPr="00F97146">
              <w:rPr>
                <w:rFonts w:eastAsia="Segoe UI" w:cs="Segoe UI"/>
                <w:iCs w:val="0"/>
                <w:sz w:val="18"/>
                <w:szCs w:val="14"/>
              </w:rPr>
              <w:t xml:space="preserve">Commission proposal: </w:t>
            </w:r>
          </w:p>
          <w:p w14:paraId="7D548200" w14:textId="77777777" w:rsidR="00F26E61" w:rsidRPr="00F97146" w:rsidRDefault="00F26E61" w:rsidP="00407A8E">
            <w:pPr>
              <w:rPr>
                <w:rFonts w:eastAsia="Segoe UI" w:cs="Segoe UI"/>
                <w:i/>
                <w:sz w:val="18"/>
                <w:szCs w:val="14"/>
              </w:rPr>
            </w:pPr>
            <w:r w:rsidRPr="00F97146">
              <w:rPr>
                <w:rFonts w:eastAsia="Segoe UI" w:cs="Segoe UI"/>
                <w:i/>
                <w:sz w:val="18"/>
                <w:szCs w:val="14"/>
              </w:rPr>
              <w:t xml:space="preserve">“Any device which, when placed on the market or put into service, incorporates, as an integral part, a medical device as defined in Art 2, point (1), of Regulation (EU) 2017/745 that has an action ancillary to that of the in vitro diagnostic medical device, the integral product shall be governed by this Regulation. In that case, the relevant general safety and performance requirements set out in Annex I to Regulation (EU) 2017/745 shall apply as far as the safety and performance of the medical device part are concerned. However, if the action of the medical device is principal and not ancillary to that of the in vitro diagnostic medical device, the integral product shall be governed by Regulation (EU) 2017/745. In that case, the relevant general safety and </w:t>
            </w:r>
            <w:r w:rsidRPr="00F97146">
              <w:rPr>
                <w:rFonts w:eastAsia="Segoe UI" w:cs="Segoe UI"/>
                <w:i/>
                <w:sz w:val="18"/>
                <w:szCs w:val="14"/>
              </w:rPr>
              <w:lastRenderedPageBreak/>
              <w:t>performance requirements set out in Annex I to this Regulation shall apply as far as the safety and performance of the in vitro diagnostic medical device part are concerned.”</w:t>
            </w:r>
          </w:p>
          <w:p w14:paraId="2E0C248D" w14:textId="77777777" w:rsidR="00F26E61" w:rsidRPr="00F97146" w:rsidRDefault="00F26E61" w:rsidP="00407A8E">
            <w:pPr>
              <w:rPr>
                <w:rFonts w:eastAsia="Segoe UI" w:cs="Segoe UI"/>
                <w:iCs w:val="0"/>
                <w:sz w:val="18"/>
                <w:szCs w:val="14"/>
              </w:rPr>
            </w:pPr>
          </w:p>
          <w:p w14:paraId="22E2F417" w14:textId="77777777" w:rsidR="00F26E61" w:rsidRPr="00F97146" w:rsidRDefault="00F26E61" w:rsidP="00407A8E">
            <w:pPr>
              <w:rPr>
                <w:rFonts w:eastAsia="Segoe UI" w:cs="Segoe UI"/>
                <w:iCs w:val="0"/>
                <w:sz w:val="18"/>
                <w:szCs w:val="14"/>
              </w:rPr>
            </w:pPr>
            <w:r w:rsidRPr="00F97146">
              <w:rPr>
                <w:rFonts w:eastAsia="Segoe UI" w:cs="Segoe UI"/>
                <w:iCs w:val="0"/>
                <w:sz w:val="18"/>
                <w:szCs w:val="14"/>
              </w:rPr>
              <w:t>The proposal provides better explanation for integral part MD/IVD in IVD/MD Device. This does not cover all scenarios.</w:t>
            </w:r>
          </w:p>
          <w:p w14:paraId="77BAD90A" w14:textId="77777777" w:rsidR="00F26E61" w:rsidRPr="00F97146" w:rsidRDefault="00F26E61" w:rsidP="00407A8E">
            <w:pPr>
              <w:rPr>
                <w:rFonts w:eastAsia="Segoe UI" w:cs="Segoe UI"/>
                <w:iCs w:val="0"/>
                <w:sz w:val="18"/>
                <w:szCs w:val="14"/>
              </w:rPr>
            </w:pPr>
          </w:p>
          <w:p w14:paraId="562547CC" w14:textId="77777777" w:rsidR="00F26E61" w:rsidRPr="00F97146" w:rsidRDefault="00F26E61" w:rsidP="00407A8E">
            <w:pPr>
              <w:rPr>
                <w:rFonts w:eastAsia="Segoe UI" w:cs="Segoe UI"/>
                <w:b/>
                <w:bCs/>
                <w:iCs w:val="0"/>
                <w:sz w:val="18"/>
                <w:szCs w:val="14"/>
              </w:rPr>
            </w:pPr>
            <w:r w:rsidRPr="00F97146">
              <w:rPr>
                <w:rFonts w:eastAsia="Segoe UI" w:cs="Segoe UI"/>
                <w:iCs w:val="0"/>
                <w:sz w:val="18"/>
                <w:szCs w:val="14"/>
              </w:rPr>
              <w:t>For example: There is 2-in-1 blood glucose meter and blood pressure meter as a single medical device, where the action of IVD part is principal for IVD and the action of MD part is principal for MD. This scenario is not clearly covered by the text and would be helpful to include it.</w:t>
            </w:r>
          </w:p>
        </w:tc>
        <w:tc>
          <w:tcPr>
            <w:tcW w:w="5528" w:type="dxa"/>
            <w:tcBorders>
              <w:top w:val="single" w:sz="4" w:space="0" w:color="auto"/>
              <w:left w:val="single" w:sz="4" w:space="0" w:color="auto"/>
              <w:bottom w:val="single" w:sz="4" w:space="0" w:color="auto"/>
              <w:right w:val="single" w:sz="4" w:space="0" w:color="auto"/>
            </w:tcBorders>
          </w:tcPr>
          <w:p w14:paraId="6F403DFD" w14:textId="77777777" w:rsidR="00F26E61" w:rsidRPr="00F97146" w:rsidRDefault="00F26E61" w:rsidP="00407A8E">
            <w:pPr>
              <w:spacing w:before="60"/>
              <w:rPr>
                <w:iCs w:val="0"/>
                <w:sz w:val="18"/>
                <w:szCs w:val="14"/>
              </w:rPr>
            </w:pPr>
            <w:r w:rsidRPr="00F97146">
              <w:rPr>
                <w:rFonts w:eastAsia="Segoe UI" w:cs="Segoe UI"/>
                <w:iCs w:val="0"/>
                <w:sz w:val="18"/>
                <w:szCs w:val="14"/>
              </w:rPr>
              <w:lastRenderedPageBreak/>
              <w:t>Team NB proposed text:</w:t>
            </w:r>
          </w:p>
          <w:p w14:paraId="0E970DCC" w14:textId="77777777" w:rsidR="00F26E61" w:rsidRPr="00F97146" w:rsidRDefault="00F26E61" w:rsidP="00407A8E">
            <w:pPr>
              <w:rPr>
                <w:iCs w:val="0"/>
                <w:sz w:val="18"/>
                <w:szCs w:val="14"/>
              </w:rPr>
            </w:pPr>
            <w:r w:rsidRPr="00F97146">
              <w:rPr>
                <w:rFonts w:eastAsia="Segoe UI" w:cs="Segoe UI"/>
                <w:iCs w:val="0"/>
                <w:sz w:val="18"/>
                <w:szCs w:val="14"/>
              </w:rPr>
              <w:t>“</w:t>
            </w:r>
            <w:r w:rsidRPr="00F97146">
              <w:rPr>
                <w:rFonts w:eastAsia="Segoe UI" w:cs="Segoe UI"/>
                <w:i/>
                <w:sz w:val="18"/>
                <w:szCs w:val="14"/>
              </w:rPr>
              <w:t>In cases where a single integral product combines an in vitro diagnostic medical device and a medical device, and both components have principal actions that are not ancillary to each other, the product shall comply with both Regulation (EU) 2017/746 and Regulation (EU) 2017/745. In such cases, the manufacturer shall demonstrate conformity with the applicable general safety and performance requirements set out in Annex I of both Regulations for the respective parts of the device. The conformity assessment shall ensure that the combined use does not compromise the safety, performance, or intended purpose of either component.”</w:t>
            </w:r>
          </w:p>
          <w:p w14:paraId="53F8FA63" w14:textId="77777777" w:rsidR="00F26E61" w:rsidRPr="00F97146" w:rsidRDefault="00F26E61" w:rsidP="00407A8E">
            <w:pPr>
              <w:spacing w:before="60"/>
              <w:rPr>
                <w:rFonts w:eastAsia="Segoe UI" w:cs="Segoe UI"/>
                <w:iCs w:val="0"/>
                <w:sz w:val="18"/>
                <w:szCs w:val="14"/>
              </w:rPr>
            </w:pPr>
          </w:p>
        </w:tc>
      </w:tr>
      <w:tr w:rsidR="00F26E61" w:rsidRPr="00F97146" w14:paraId="667F090F" w14:textId="77777777" w:rsidTr="0022597C">
        <w:tc>
          <w:tcPr>
            <w:tcW w:w="568" w:type="dxa"/>
          </w:tcPr>
          <w:p w14:paraId="58CC04C5" w14:textId="77777777" w:rsidR="00F26E61" w:rsidRPr="00F97146" w:rsidRDefault="00F26E61" w:rsidP="00407A8E">
            <w:pPr>
              <w:spacing w:line="276" w:lineRule="auto"/>
              <w:ind w:left="-48" w:firstLine="6"/>
              <w:jc w:val="center"/>
              <w:rPr>
                <w:rFonts w:eastAsia="Segoe UI" w:cs="Segoe UI"/>
                <w:iCs w:val="0"/>
                <w:sz w:val="18"/>
                <w:szCs w:val="14"/>
              </w:rPr>
            </w:pPr>
            <w:r w:rsidRPr="00F97146">
              <w:rPr>
                <w:rFonts w:eastAsia="Segoe UI" w:cs="Segoe UI"/>
                <w:iCs w:val="0"/>
                <w:sz w:val="18"/>
                <w:szCs w:val="14"/>
              </w:rPr>
              <w:t>42</w:t>
            </w:r>
          </w:p>
        </w:tc>
        <w:tc>
          <w:tcPr>
            <w:tcW w:w="1134" w:type="dxa"/>
            <w:tcBorders>
              <w:top w:val="single" w:sz="4" w:space="0" w:color="auto"/>
              <w:left w:val="single" w:sz="4" w:space="0" w:color="auto"/>
              <w:bottom w:val="single" w:sz="4" w:space="0" w:color="auto"/>
              <w:right w:val="single" w:sz="4" w:space="0" w:color="auto"/>
            </w:tcBorders>
          </w:tcPr>
          <w:p w14:paraId="25DFD92D" w14:textId="77777777" w:rsidR="00F26E61" w:rsidRPr="00F97146" w:rsidDel="00197808" w:rsidRDefault="00F26E61" w:rsidP="00407A8E">
            <w:pPr>
              <w:spacing w:line="276" w:lineRule="auto"/>
              <w:ind w:left="-48" w:firstLine="6"/>
              <w:jc w:val="center"/>
              <w:rPr>
                <w:rFonts w:eastAsia="Segoe UI" w:cs="Segoe UI"/>
                <w:iCs w:val="0"/>
                <w:sz w:val="18"/>
                <w:szCs w:val="14"/>
              </w:rPr>
            </w:pPr>
            <w:r w:rsidRPr="00F97146">
              <w:rPr>
                <w:rFonts w:eastAsia="Segoe UI" w:cs="Segoe UI"/>
                <w:iCs w:val="0"/>
                <w:sz w:val="18"/>
                <w:szCs w:val="14"/>
              </w:rPr>
              <w:t>96</w:t>
            </w:r>
          </w:p>
        </w:tc>
        <w:tc>
          <w:tcPr>
            <w:tcW w:w="1114" w:type="dxa"/>
            <w:tcBorders>
              <w:top w:val="single" w:sz="4" w:space="0" w:color="auto"/>
              <w:left w:val="single" w:sz="4" w:space="0" w:color="auto"/>
              <w:bottom w:val="single" w:sz="4" w:space="0" w:color="auto"/>
              <w:right w:val="single" w:sz="4" w:space="0" w:color="auto"/>
            </w:tcBorders>
          </w:tcPr>
          <w:p w14:paraId="179B647F" w14:textId="77777777" w:rsidR="00F26E61" w:rsidRPr="00F97146" w:rsidRDefault="00F26E61" w:rsidP="00407A8E">
            <w:pPr>
              <w:spacing w:line="276" w:lineRule="auto"/>
              <w:ind w:left="75"/>
              <w:jc w:val="center"/>
              <w:rPr>
                <w:rFonts w:eastAsia="Segoe UI" w:cs="Segoe UI"/>
                <w:iCs w:val="0"/>
                <w:sz w:val="18"/>
                <w:szCs w:val="14"/>
              </w:rPr>
            </w:pPr>
            <w:r w:rsidRPr="00F97146">
              <w:rPr>
                <w:rFonts w:eastAsia="Segoe UI" w:cs="Segoe UI"/>
                <w:iCs w:val="0"/>
                <w:sz w:val="18"/>
                <w:szCs w:val="14"/>
              </w:rPr>
              <w:t>2</w:t>
            </w:r>
          </w:p>
        </w:tc>
        <w:tc>
          <w:tcPr>
            <w:tcW w:w="1134" w:type="dxa"/>
            <w:tcBorders>
              <w:top w:val="single" w:sz="4" w:space="0" w:color="auto"/>
              <w:left w:val="single" w:sz="4" w:space="0" w:color="auto"/>
              <w:bottom w:val="single" w:sz="4" w:space="0" w:color="auto"/>
              <w:right w:val="single" w:sz="4" w:space="0" w:color="auto"/>
            </w:tcBorders>
          </w:tcPr>
          <w:p w14:paraId="3F6B2B1D" w14:textId="77777777" w:rsidR="00F26E61" w:rsidRPr="00F97146" w:rsidRDefault="00F26E61" w:rsidP="00407A8E">
            <w:pPr>
              <w:spacing w:line="276" w:lineRule="auto"/>
              <w:jc w:val="center"/>
              <w:rPr>
                <w:rFonts w:eastAsia="Segoe UI" w:cs="Segoe UI"/>
                <w:iCs w:val="0"/>
                <w:sz w:val="18"/>
                <w:szCs w:val="14"/>
              </w:rPr>
            </w:pPr>
            <w:r w:rsidRPr="00F97146">
              <w:rPr>
                <w:rFonts w:eastAsia="Segoe UI" w:cs="Segoe UI"/>
                <w:iCs w:val="0"/>
                <w:sz w:val="18"/>
                <w:szCs w:val="14"/>
              </w:rPr>
              <w:t>9</w:t>
            </w:r>
          </w:p>
        </w:tc>
        <w:tc>
          <w:tcPr>
            <w:tcW w:w="1134" w:type="dxa"/>
            <w:tcBorders>
              <w:top w:val="single" w:sz="4" w:space="0" w:color="auto"/>
              <w:left w:val="single" w:sz="4" w:space="0" w:color="auto"/>
              <w:bottom w:val="single" w:sz="4" w:space="0" w:color="auto"/>
              <w:right w:val="single" w:sz="4" w:space="0" w:color="auto"/>
            </w:tcBorders>
          </w:tcPr>
          <w:p w14:paraId="0D61BC3F" w14:textId="77777777" w:rsidR="00F26E61" w:rsidRPr="00F97146" w:rsidRDefault="00F26E61" w:rsidP="00407A8E">
            <w:pPr>
              <w:jc w:val="center"/>
              <w:rPr>
                <w:rFonts w:eastAsia="Segoe UI" w:cs="Segoe UI"/>
                <w:iCs w:val="0"/>
                <w:sz w:val="18"/>
                <w:szCs w:val="14"/>
              </w:rPr>
            </w:pPr>
            <w:r w:rsidRPr="00F97146">
              <w:rPr>
                <w:bCs/>
                <w:iCs w:val="0"/>
                <w:sz w:val="18"/>
                <w:szCs w:val="14"/>
              </w:rPr>
              <w:t>d</w:t>
            </w:r>
          </w:p>
        </w:tc>
        <w:tc>
          <w:tcPr>
            <w:tcW w:w="4840" w:type="dxa"/>
            <w:tcBorders>
              <w:top w:val="single" w:sz="4" w:space="0" w:color="auto"/>
              <w:left w:val="single" w:sz="4" w:space="0" w:color="auto"/>
              <w:bottom w:val="single" w:sz="4" w:space="0" w:color="auto"/>
              <w:right w:val="single" w:sz="4" w:space="0" w:color="auto"/>
            </w:tcBorders>
          </w:tcPr>
          <w:p w14:paraId="797F8603" w14:textId="77777777" w:rsidR="00F26E61" w:rsidRPr="00F97146" w:rsidRDefault="00F26E61" w:rsidP="00407A8E">
            <w:pPr>
              <w:rPr>
                <w:rFonts w:eastAsia="Segoe UI" w:cs="Segoe UI"/>
                <w:iCs w:val="0"/>
                <w:sz w:val="18"/>
                <w:szCs w:val="14"/>
              </w:rPr>
            </w:pPr>
            <w:r w:rsidRPr="00F97146">
              <w:rPr>
                <w:rFonts w:eastAsia="Segoe UI" w:cs="Segoe UI"/>
                <w:iCs w:val="0"/>
                <w:sz w:val="18"/>
                <w:szCs w:val="14"/>
              </w:rPr>
              <w:t>Commission proposal:</w:t>
            </w:r>
          </w:p>
          <w:p w14:paraId="2C452C15" w14:textId="77777777" w:rsidR="00F26E61" w:rsidRPr="00F97146" w:rsidRDefault="00F26E61" w:rsidP="00407A8E">
            <w:pPr>
              <w:rPr>
                <w:rFonts w:eastAsia="Segoe UI" w:cs="Segoe UI"/>
                <w:iCs w:val="0"/>
                <w:sz w:val="18"/>
                <w:szCs w:val="14"/>
              </w:rPr>
            </w:pPr>
          </w:p>
          <w:p w14:paraId="74B8F95E" w14:textId="77777777" w:rsidR="00F26E61" w:rsidRPr="00F97146" w:rsidRDefault="00F26E61" w:rsidP="00407A8E">
            <w:pPr>
              <w:rPr>
                <w:rFonts w:eastAsia="Segoe UI" w:cs="Segoe UI"/>
                <w:i/>
                <w:sz w:val="18"/>
                <w:szCs w:val="14"/>
              </w:rPr>
            </w:pPr>
            <w:r w:rsidRPr="00F97146">
              <w:rPr>
                <w:rFonts w:eastAsia="Segoe UI" w:cs="Segoe UI"/>
                <w:iCs w:val="0"/>
                <w:sz w:val="18"/>
                <w:szCs w:val="14"/>
              </w:rPr>
              <w:t>Removal of “</w:t>
            </w:r>
            <w:r w:rsidRPr="00F97146">
              <w:rPr>
                <w:rFonts w:eastAsia="Segoe UI" w:cs="Segoe UI"/>
                <w:i/>
                <w:sz w:val="18"/>
                <w:szCs w:val="14"/>
              </w:rPr>
              <w:t>The information supplied in accordance with Section 20 of Annex I with devices for self-testing or near-patient testing shall be easily understandable and provided in the official Union language(s) determined by the Member State in which the device is made available to the user or patient.”</w:t>
            </w:r>
          </w:p>
          <w:p w14:paraId="77437FE2" w14:textId="77777777" w:rsidR="00F26E61" w:rsidRPr="00F97146" w:rsidRDefault="00F26E61" w:rsidP="00407A8E">
            <w:pPr>
              <w:rPr>
                <w:iCs w:val="0"/>
                <w:sz w:val="18"/>
                <w:szCs w:val="14"/>
              </w:rPr>
            </w:pPr>
          </w:p>
          <w:p w14:paraId="738E014D" w14:textId="77777777" w:rsidR="00F26E61" w:rsidRPr="00F97146" w:rsidRDefault="00F26E61" w:rsidP="00407A8E">
            <w:pPr>
              <w:rPr>
                <w:rFonts w:eastAsia="Segoe UI" w:cs="Segoe UI"/>
                <w:b/>
                <w:bCs/>
                <w:iCs w:val="0"/>
                <w:sz w:val="18"/>
                <w:szCs w:val="14"/>
              </w:rPr>
            </w:pPr>
            <w:r w:rsidRPr="00F97146">
              <w:rPr>
                <w:rFonts w:eastAsia="Segoe UI" w:cs="Segoe UI"/>
                <w:iCs w:val="0"/>
                <w:sz w:val="18"/>
                <w:szCs w:val="14"/>
              </w:rPr>
              <w:t>By removal of this phrase self-users or users of NPT tests can end up with an IFU that is not understandable due to too complex words or technical language etc. This will pose a significant risk to the usability of these tests.</w:t>
            </w:r>
          </w:p>
        </w:tc>
        <w:tc>
          <w:tcPr>
            <w:tcW w:w="5528" w:type="dxa"/>
            <w:tcBorders>
              <w:top w:val="single" w:sz="4" w:space="0" w:color="auto"/>
              <w:left w:val="single" w:sz="4" w:space="0" w:color="auto"/>
              <w:bottom w:val="single" w:sz="4" w:space="0" w:color="auto"/>
              <w:right w:val="single" w:sz="4" w:space="0" w:color="auto"/>
            </w:tcBorders>
          </w:tcPr>
          <w:p w14:paraId="29D4DF16" w14:textId="77777777" w:rsidR="00F26E61" w:rsidRPr="00F97146" w:rsidRDefault="00F26E61" w:rsidP="00407A8E">
            <w:pPr>
              <w:spacing w:before="60"/>
              <w:rPr>
                <w:rFonts w:eastAsia="Segoe UI" w:cs="Segoe UI"/>
                <w:iCs w:val="0"/>
                <w:sz w:val="18"/>
                <w:szCs w:val="14"/>
              </w:rPr>
            </w:pPr>
            <w:r w:rsidRPr="00F97146">
              <w:rPr>
                <w:rFonts w:eastAsia="Segoe UI" w:cs="Segoe UI"/>
                <w:iCs w:val="0"/>
                <w:sz w:val="18"/>
                <w:szCs w:val="14"/>
              </w:rPr>
              <w:t>Reinstate the existing text and the requirement to provide information in a format that is easily understandable for users.</w:t>
            </w:r>
          </w:p>
        </w:tc>
      </w:tr>
      <w:tr w:rsidR="00F26E61" w:rsidRPr="00F97146" w14:paraId="49A169F6" w14:textId="77777777" w:rsidTr="0022597C">
        <w:tc>
          <w:tcPr>
            <w:tcW w:w="568" w:type="dxa"/>
          </w:tcPr>
          <w:p w14:paraId="328B7BE3" w14:textId="77777777" w:rsidR="00F26E61" w:rsidRPr="00F97146" w:rsidRDefault="00F26E61" w:rsidP="00407A8E">
            <w:pPr>
              <w:spacing w:line="276" w:lineRule="auto"/>
              <w:ind w:left="-48" w:firstLine="6"/>
              <w:jc w:val="center"/>
              <w:rPr>
                <w:rFonts w:eastAsia="Segoe UI" w:cs="Segoe UI"/>
                <w:iCs w:val="0"/>
                <w:sz w:val="18"/>
                <w:szCs w:val="14"/>
              </w:rPr>
            </w:pPr>
            <w:r w:rsidRPr="00F97146">
              <w:rPr>
                <w:rFonts w:eastAsia="Segoe UI" w:cs="Segoe UI"/>
                <w:iCs w:val="0"/>
                <w:sz w:val="18"/>
                <w:szCs w:val="14"/>
              </w:rPr>
              <w:t>43</w:t>
            </w:r>
          </w:p>
        </w:tc>
        <w:tc>
          <w:tcPr>
            <w:tcW w:w="1134" w:type="dxa"/>
            <w:tcBorders>
              <w:top w:val="single" w:sz="4" w:space="0" w:color="auto"/>
              <w:left w:val="single" w:sz="4" w:space="0" w:color="auto"/>
              <w:bottom w:val="single" w:sz="4" w:space="0" w:color="auto"/>
              <w:right w:val="single" w:sz="4" w:space="0" w:color="auto"/>
            </w:tcBorders>
          </w:tcPr>
          <w:p w14:paraId="2C1C7B79" w14:textId="77777777" w:rsidR="00F26E61" w:rsidRPr="00F97146" w:rsidDel="00197808" w:rsidRDefault="00F26E61" w:rsidP="00407A8E">
            <w:pPr>
              <w:spacing w:line="276" w:lineRule="auto"/>
              <w:ind w:left="-48" w:firstLine="6"/>
              <w:jc w:val="center"/>
              <w:rPr>
                <w:rFonts w:eastAsia="Segoe UI" w:cs="Segoe UI"/>
                <w:iCs w:val="0"/>
                <w:sz w:val="18"/>
                <w:szCs w:val="14"/>
              </w:rPr>
            </w:pPr>
            <w:r w:rsidRPr="00F97146">
              <w:rPr>
                <w:rFonts w:eastAsia="Segoe UI" w:cs="Segoe UI"/>
                <w:iCs w:val="0"/>
                <w:sz w:val="18"/>
                <w:szCs w:val="14"/>
              </w:rPr>
              <w:t>100</w:t>
            </w:r>
          </w:p>
        </w:tc>
        <w:tc>
          <w:tcPr>
            <w:tcW w:w="1114" w:type="dxa"/>
            <w:tcBorders>
              <w:top w:val="single" w:sz="4" w:space="0" w:color="auto"/>
              <w:left w:val="single" w:sz="4" w:space="0" w:color="auto"/>
              <w:bottom w:val="single" w:sz="4" w:space="0" w:color="auto"/>
              <w:right w:val="single" w:sz="4" w:space="0" w:color="auto"/>
            </w:tcBorders>
          </w:tcPr>
          <w:p w14:paraId="5BB999C9" w14:textId="77777777" w:rsidR="00F26E61" w:rsidRPr="00F97146" w:rsidRDefault="00F26E61" w:rsidP="00407A8E">
            <w:pPr>
              <w:spacing w:line="276" w:lineRule="auto"/>
              <w:ind w:left="75"/>
              <w:jc w:val="center"/>
              <w:rPr>
                <w:rFonts w:eastAsia="Segoe UI" w:cs="Segoe UI"/>
                <w:iCs w:val="0"/>
                <w:sz w:val="18"/>
                <w:szCs w:val="14"/>
              </w:rPr>
            </w:pPr>
            <w:r w:rsidRPr="00F97146">
              <w:rPr>
                <w:iCs w:val="0"/>
                <w:sz w:val="18"/>
                <w:szCs w:val="14"/>
                <w:lang w:val="fr-FR"/>
              </w:rPr>
              <w:t>2</w:t>
            </w:r>
          </w:p>
        </w:tc>
        <w:tc>
          <w:tcPr>
            <w:tcW w:w="1134" w:type="dxa"/>
            <w:tcBorders>
              <w:top w:val="single" w:sz="4" w:space="0" w:color="auto"/>
              <w:left w:val="single" w:sz="4" w:space="0" w:color="auto"/>
              <w:bottom w:val="single" w:sz="4" w:space="0" w:color="auto"/>
              <w:right w:val="single" w:sz="4" w:space="0" w:color="auto"/>
            </w:tcBorders>
          </w:tcPr>
          <w:p w14:paraId="7A4DA323" w14:textId="77777777" w:rsidR="00F26E61" w:rsidRPr="00F97146" w:rsidRDefault="00F26E61" w:rsidP="00407A8E">
            <w:pPr>
              <w:spacing w:line="276" w:lineRule="auto"/>
              <w:jc w:val="center"/>
              <w:rPr>
                <w:rFonts w:eastAsia="Segoe UI" w:cs="Segoe UI"/>
                <w:iCs w:val="0"/>
                <w:sz w:val="18"/>
                <w:szCs w:val="14"/>
              </w:rPr>
            </w:pPr>
            <w:r w:rsidRPr="00F97146">
              <w:rPr>
                <w:bCs/>
                <w:iCs w:val="0"/>
                <w:sz w:val="18"/>
                <w:szCs w:val="14"/>
              </w:rPr>
              <w:t>18</w:t>
            </w:r>
          </w:p>
        </w:tc>
        <w:tc>
          <w:tcPr>
            <w:tcW w:w="1134" w:type="dxa"/>
            <w:tcBorders>
              <w:top w:val="single" w:sz="4" w:space="0" w:color="auto"/>
              <w:left w:val="single" w:sz="4" w:space="0" w:color="auto"/>
              <w:bottom w:val="single" w:sz="4" w:space="0" w:color="auto"/>
              <w:right w:val="single" w:sz="4" w:space="0" w:color="auto"/>
            </w:tcBorders>
          </w:tcPr>
          <w:p w14:paraId="0F785DDE" w14:textId="77777777" w:rsidR="00F26E61" w:rsidRPr="00F97146" w:rsidRDefault="00F26E61" w:rsidP="00407A8E">
            <w:pPr>
              <w:jc w:val="center"/>
              <w:rPr>
                <w:rFonts w:eastAsia="Segoe UI" w:cs="Segoe UI"/>
                <w:iCs w:val="0"/>
                <w:sz w:val="18"/>
                <w:szCs w:val="14"/>
              </w:rPr>
            </w:pPr>
            <w:r w:rsidRPr="00F97146">
              <w:rPr>
                <w:rFonts w:eastAsia="Segoe UI" w:cs="Segoe UI"/>
                <w:iCs w:val="0"/>
                <w:sz w:val="18"/>
                <w:szCs w:val="14"/>
              </w:rPr>
              <w:t>d</w:t>
            </w:r>
          </w:p>
        </w:tc>
        <w:tc>
          <w:tcPr>
            <w:tcW w:w="4840" w:type="dxa"/>
            <w:tcBorders>
              <w:top w:val="single" w:sz="4" w:space="0" w:color="auto"/>
              <w:left w:val="single" w:sz="4" w:space="0" w:color="auto"/>
              <w:bottom w:val="single" w:sz="4" w:space="0" w:color="auto"/>
              <w:right w:val="single" w:sz="4" w:space="0" w:color="auto"/>
            </w:tcBorders>
          </w:tcPr>
          <w:p w14:paraId="17B5D3B6" w14:textId="77777777" w:rsidR="00F26E61" w:rsidRPr="00F97146" w:rsidRDefault="00F26E61" w:rsidP="00407A8E">
            <w:pPr>
              <w:rPr>
                <w:rFonts w:eastAsia="Segoe UI" w:cs="Segoe UI"/>
                <w:iCs w:val="0"/>
                <w:sz w:val="18"/>
                <w:szCs w:val="14"/>
              </w:rPr>
            </w:pPr>
            <w:r w:rsidRPr="00F97146">
              <w:rPr>
                <w:rFonts w:eastAsia="Segoe UI" w:cs="Segoe UI"/>
                <w:iCs w:val="0"/>
                <w:sz w:val="18"/>
                <w:szCs w:val="14"/>
              </w:rPr>
              <w:t>Commission proposal:</w:t>
            </w:r>
          </w:p>
          <w:p w14:paraId="35879A3A" w14:textId="77777777" w:rsidR="00F26E61" w:rsidRPr="00F97146" w:rsidRDefault="00F26E61" w:rsidP="00407A8E">
            <w:pPr>
              <w:rPr>
                <w:rFonts w:eastAsia="Segoe UI" w:cs="Segoe UI"/>
                <w:iCs w:val="0"/>
                <w:sz w:val="18"/>
                <w:szCs w:val="14"/>
              </w:rPr>
            </w:pPr>
            <w:r w:rsidRPr="00F97146">
              <w:rPr>
                <w:rFonts w:eastAsia="Segoe UI" w:cs="Segoe UI"/>
                <w:iCs w:val="0"/>
                <w:sz w:val="18"/>
                <w:szCs w:val="14"/>
              </w:rPr>
              <w:lastRenderedPageBreak/>
              <w:t>“</w:t>
            </w:r>
            <w:r w:rsidRPr="00F97146">
              <w:rPr>
                <w:rFonts w:eastAsia="Segoe UI" w:cs="Segoe UI"/>
                <w:i/>
                <w:sz w:val="18"/>
                <w:szCs w:val="14"/>
              </w:rPr>
              <w:t>3a. For devices that are the subject of a conformity assessment as referred to in Art 48(3) and (4), Art 48(7), second ’;subparagraph, Art 48(8), and Art 48(9), second subparagraph, the assignment of a Basic UDI-DI referred to in paragraph 1 of this Art shall be done before the manufacturer applies to a notified body for that assessment.”</w:t>
            </w:r>
          </w:p>
          <w:p w14:paraId="2E3463E2" w14:textId="77777777" w:rsidR="00F26E61" w:rsidRPr="00F97146" w:rsidRDefault="00F26E61" w:rsidP="00407A8E">
            <w:pPr>
              <w:rPr>
                <w:iCs w:val="0"/>
                <w:sz w:val="18"/>
                <w:szCs w:val="14"/>
              </w:rPr>
            </w:pPr>
          </w:p>
          <w:p w14:paraId="2AE8B383" w14:textId="77777777" w:rsidR="00F26E61" w:rsidRPr="00F97146" w:rsidRDefault="00F26E61" w:rsidP="00407A8E">
            <w:pPr>
              <w:rPr>
                <w:rFonts w:eastAsia="Segoe UI" w:cs="Segoe UI"/>
                <w:b/>
                <w:bCs/>
                <w:iCs w:val="0"/>
                <w:sz w:val="18"/>
                <w:szCs w:val="14"/>
              </w:rPr>
            </w:pPr>
            <w:r w:rsidRPr="00F97146">
              <w:rPr>
                <w:rFonts w:eastAsia="Segoe UI" w:cs="Segoe UI"/>
                <w:iCs w:val="0"/>
                <w:sz w:val="18"/>
                <w:szCs w:val="14"/>
              </w:rPr>
              <w:t>There are no second paragraphs for Art 48(7) and 48(9) in the revised text.</w:t>
            </w:r>
          </w:p>
        </w:tc>
        <w:tc>
          <w:tcPr>
            <w:tcW w:w="5528" w:type="dxa"/>
            <w:tcBorders>
              <w:top w:val="single" w:sz="4" w:space="0" w:color="auto"/>
              <w:left w:val="single" w:sz="4" w:space="0" w:color="auto"/>
              <w:bottom w:val="single" w:sz="4" w:space="0" w:color="auto"/>
              <w:right w:val="single" w:sz="4" w:space="0" w:color="auto"/>
            </w:tcBorders>
          </w:tcPr>
          <w:p w14:paraId="3C3B7D56" w14:textId="77777777" w:rsidR="00F26E61" w:rsidRPr="00F97146" w:rsidRDefault="00F26E61" w:rsidP="00407A8E">
            <w:pPr>
              <w:spacing w:line="276" w:lineRule="auto"/>
              <w:rPr>
                <w:rFonts w:eastAsia="Segoe UI" w:cs="Segoe UI"/>
                <w:iCs w:val="0"/>
                <w:sz w:val="18"/>
                <w:szCs w:val="14"/>
              </w:rPr>
            </w:pPr>
            <w:r w:rsidRPr="00F97146">
              <w:rPr>
                <w:rFonts w:eastAsia="Segoe UI" w:cs="Segoe UI"/>
                <w:iCs w:val="0"/>
                <w:sz w:val="18"/>
                <w:szCs w:val="14"/>
              </w:rPr>
              <w:lastRenderedPageBreak/>
              <w:t>Correction of this reference.</w:t>
            </w:r>
          </w:p>
          <w:p w14:paraId="5144106D" w14:textId="77777777" w:rsidR="00F26E61" w:rsidRPr="00F97146" w:rsidRDefault="00F26E61" w:rsidP="00407A8E">
            <w:pPr>
              <w:rPr>
                <w:iCs w:val="0"/>
                <w:sz w:val="18"/>
                <w:szCs w:val="14"/>
              </w:rPr>
            </w:pPr>
          </w:p>
          <w:p w14:paraId="3B370AAD" w14:textId="77777777" w:rsidR="00F26E61" w:rsidRPr="00F97146" w:rsidRDefault="00F26E61" w:rsidP="00407A8E">
            <w:pPr>
              <w:spacing w:before="60"/>
              <w:rPr>
                <w:rFonts w:eastAsia="Segoe UI" w:cs="Segoe UI"/>
                <w:iCs w:val="0"/>
                <w:sz w:val="18"/>
                <w:szCs w:val="14"/>
              </w:rPr>
            </w:pPr>
          </w:p>
        </w:tc>
      </w:tr>
      <w:tr w:rsidR="00F26E61" w:rsidRPr="00F97146" w14:paraId="3869DE2C" w14:textId="77777777" w:rsidTr="0022597C">
        <w:tc>
          <w:tcPr>
            <w:tcW w:w="568" w:type="dxa"/>
          </w:tcPr>
          <w:p w14:paraId="506AD769" w14:textId="77777777" w:rsidR="00F26E61" w:rsidRPr="00F97146" w:rsidRDefault="00F26E61" w:rsidP="00407A8E">
            <w:pPr>
              <w:spacing w:line="276" w:lineRule="auto"/>
              <w:ind w:left="-48" w:firstLine="6"/>
              <w:jc w:val="center"/>
              <w:rPr>
                <w:rFonts w:eastAsia="Segoe UI" w:cs="Segoe UI"/>
                <w:iCs w:val="0"/>
                <w:sz w:val="18"/>
                <w:szCs w:val="14"/>
              </w:rPr>
            </w:pPr>
            <w:r w:rsidRPr="00F97146">
              <w:rPr>
                <w:rFonts w:eastAsia="Segoe UI" w:cs="Segoe UI"/>
                <w:iCs w:val="0"/>
                <w:sz w:val="18"/>
                <w:szCs w:val="14"/>
              </w:rPr>
              <w:lastRenderedPageBreak/>
              <w:t>44</w:t>
            </w:r>
          </w:p>
        </w:tc>
        <w:tc>
          <w:tcPr>
            <w:tcW w:w="1134" w:type="dxa"/>
            <w:tcBorders>
              <w:top w:val="single" w:sz="4" w:space="0" w:color="auto"/>
              <w:left w:val="single" w:sz="4" w:space="0" w:color="auto"/>
              <w:bottom w:val="single" w:sz="4" w:space="0" w:color="auto"/>
              <w:right w:val="single" w:sz="4" w:space="0" w:color="auto"/>
            </w:tcBorders>
          </w:tcPr>
          <w:p w14:paraId="2DD6B734" w14:textId="77777777" w:rsidR="00F26E61" w:rsidRPr="00F97146" w:rsidDel="00197808" w:rsidRDefault="00F26E61" w:rsidP="00407A8E">
            <w:pPr>
              <w:spacing w:line="276" w:lineRule="auto"/>
              <w:ind w:left="-48" w:firstLine="6"/>
              <w:jc w:val="center"/>
              <w:rPr>
                <w:rFonts w:eastAsia="Segoe UI" w:cs="Segoe UI"/>
                <w:iCs w:val="0"/>
                <w:sz w:val="18"/>
                <w:szCs w:val="14"/>
              </w:rPr>
            </w:pPr>
            <w:r w:rsidRPr="00F97146">
              <w:rPr>
                <w:rFonts w:eastAsia="Segoe UI" w:cs="Segoe UI"/>
                <w:iCs w:val="0"/>
                <w:sz w:val="18"/>
                <w:szCs w:val="14"/>
              </w:rPr>
              <w:t>100</w:t>
            </w:r>
          </w:p>
        </w:tc>
        <w:tc>
          <w:tcPr>
            <w:tcW w:w="1114" w:type="dxa"/>
            <w:tcBorders>
              <w:top w:val="single" w:sz="4" w:space="0" w:color="auto"/>
              <w:left w:val="single" w:sz="4" w:space="0" w:color="auto"/>
              <w:bottom w:val="single" w:sz="4" w:space="0" w:color="auto"/>
              <w:right w:val="single" w:sz="4" w:space="0" w:color="auto"/>
            </w:tcBorders>
          </w:tcPr>
          <w:p w14:paraId="213F1A7D" w14:textId="77777777" w:rsidR="00F26E61" w:rsidRPr="00F97146" w:rsidRDefault="00F26E61" w:rsidP="00407A8E">
            <w:pPr>
              <w:spacing w:line="276" w:lineRule="auto"/>
              <w:ind w:left="75"/>
              <w:jc w:val="center"/>
              <w:rPr>
                <w:rFonts w:eastAsia="Segoe UI" w:cs="Segoe UI"/>
                <w:iCs w:val="0"/>
                <w:sz w:val="18"/>
                <w:szCs w:val="14"/>
              </w:rPr>
            </w:pPr>
            <w:r w:rsidRPr="00F97146">
              <w:rPr>
                <w:iCs w:val="0"/>
                <w:sz w:val="18"/>
                <w:szCs w:val="14"/>
                <w:lang w:val="fr-FR"/>
              </w:rPr>
              <w:t>2</w:t>
            </w:r>
          </w:p>
        </w:tc>
        <w:tc>
          <w:tcPr>
            <w:tcW w:w="1134" w:type="dxa"/>
            <w:tcBorders>
              <w:top w:val="single" w:sz="4" w:space="0" w:color="auto"/>
              <w:left w:val="single" w:sz="4" w:space="0" w:color="auto"/>
              <w:bottom w:val="single" w:sz="4" w:space="0" w:color="auto"/>
              <w:right w:val="single" w:sz="4" w:space="0" w:color="auto"/>
            </w:tcBorders>
          </w:tcPr>
          <w:p w14:paraId="0CE7E3A9" w14:textId="77777777" w:rsidR="00F26E61" w:rsidRPr="00F97146" w:rsidRDefault="00F26E61" w:rsidP="00407A8E">
            <w:pPr>
              <w:spacing w:line="276" w:lineRule="auto"/>
              <w:jc w:val="center"/>
              <w:rPr>
                <w:rFonts w:eastAsia="Segoe UI" w:cs="Segoe UI"/>
                <w:iCs w:val="0"/>
                <w:sz w:val="18"/>
                <w:szCs w:val="14"/>
              </w:rPr>
            </w:pPr>
            <w:r w:rsidRPr="00F97146">
              <w:rPr>
                <w:bCs/>
                <w:iCs w:val="0"/>
                <w:sz w:val="18"/>
                <w:szCs w:val="14"/>
              </w:rPr>
              <w:t>19</w:t>
            </w:r>
          </w:p>
        </w:tc>
        <w:tc>
          <w:tcPr>
            <w:tcW w:w="1134" w:type="dxa"/>
            <w:tcBorders>
              <w:top w:val="single" w:sz="4" w:space="0" w:color="auto"/>
              <w:left w:val="single" w:sz="4" w:space="0" w:color="auto"/>
              <w:bottom w:val="single" w:sz="4" w:space="0" w:color="auto"/>
              <w:right w:val="single" w:sz="4" w:space="0" w:color="auto"/>
            </w:tcBorders>
          </w:tcPr>
          <w:p w14:paraId="3715915A" w14:textId="77777777" w:rsidR="00F26E61" w:rsidRPr="00F97146" w:rsidRDefault="00F26E61" w:rsidP="00407A8E">
            <w:pPr>
              <w:jc w:val="center"/>
              <w:rPr>
                <w:rFonts w:eastAsia="Segoe UI" w:cs="Segoe UI"/>
                <w:iCs w:val="0"/>
                <w:sz w:val="18"/>
                <w:szCs w:val="14"/>
              </w:rPr>
            </w:pPr>
          </w:p>
        </w:tc>
        <w:tc>
          <w:tcPr>
            <w:tcW w:w="4840" w:type="dxa"/>
            <w:tcBorders>
              <w:top w:val="single" w:sz="4" w:space="0" w:color="auto"/>
              <w:left w:val="single" w:sz="4" w:space="0" w:color="auto"/>
              <w:bottom w:val="single" w:sz="4" w:space="0" w:color="auto"/>
              <w:right w:val="single" w:sz="4" w:space="0" w:color="auto"/>
            </w:tcBorders>
          </w:tcPr>
          <w:p w14:paraId="5176040F" w14:textId="77777777" w:rsidR="00F26E61" w:rsidRPr="00F97146" w:rsidRDefault="00F26E61" w:rsidP="00407A8E">
            <w:pPr>
              <w:spacing w:before="60"/>
              <w:rPr>
                <w:rFonts w:eastAsia="Segoe UI" w:cs="Segoe UI"/>
                <w:iCs w:val="0"/>
                <w:sz w:val="18"/>
                <w:szCs w:val="14"/>
              </w:rPr>
            </w:pPr>
            <w:r w:rsidRPr="00F97146">
              <w:rPr>
                <w:rFonts w:eastAsia="Segoe UI" w:cs="Segoe UI"/>
                <w:iCs w:val="0"/>
                <w:sz w:val="18"/>
                <w:szCs w:val="14"/>
              </w:rPr>
              <w:t>Commission proposal:</w:t>
            </w:r>
          </w:p>
          <w:p w14:paraId="37868F89" w14:textId="77777777" w:rsidR="00F26E61" w:rsidRPr="00F97146" w:rsidRDefault="00F26E61" w:rsidP="00407A8E">
            <w:pPr>
              <w:rPr>
                <w:rFonts w:eastAsia="Segoe UI" w:cs="Segoe UI"/>
                <w:i/>
                <w:sz w:val="18"/>
                <w:szCs w:val="14"/>
              </w:rPr>
            </w:pPr>
            <w:r w:rsidRPr="00F97146">
              <w:rPr>
                <w:rFonts w:eastAsia="Segoe UI" w:cs="Segoe UI"/>
                <w:iCs w:val="0"/>
                <w:sz w:val="18"/>
                <w:szCs w:val="14"/>
              </w:rPr>
              <w:t>“</w:t>
            </w:r>
            <w:r w:rsidRPr="00F97146">
              <w:rPr>
                <w:rFonts w:eastAsia="Segoe UI" w:cs="Segoe UI"/>
                <w:i/>
                <w:sz w:val="18"/>
                <w:szCs w:val="14"/>
              </w:rPr>
              <w:t xml:space="preserve">2. For devices that are the subject of a conformity assessment as referred to in Art 48(3) and (4), Art 48(7), second subparagraph, Art 48(8), and Art 48(9), second subparagraph, the notified body shall confirm in </w:t>
            </w:r>
            <w:proofErr w:type="spellStart"/>
            <w:r w:rsidRPr="00F97146">
              <w:rPr>
                <w:rFonts w:eastAsia="Segoe UI" w:cs="Segoe UI"/>
                <w:i/>
                <w:sz w:val="18"/>
                <w:szCs w:val="14"/>
              </w:rPr>
              <w:t>Eudamed</w:t>
            </w:r>
            <w:proofErr w:type="spellEnd"/>
            <w:r w:rsidRPr="00F97146">
              <w:rPr>
                <w:rFonts w:eastAsia="Segoe UI" w:cs="Segoe UI"/>
                <w:i/>
                <w:sz w:val="18"/>
                <w:szCs w:val="14"/>
              </w:rPr>
              <w:t xml:space="preserve"> that the information referred to in Part B of Annex VI is correct.’”</w:t>
            </w:r>
          </w:p>
          <w:p w14:paraId="403D5DAD" w14:textId="77777777" w:rsidR="00F26E61" w:rsidRPr="00F97146" w:rsidRDefault="00F26E61" w:rsidP="00407A8E">
            <w:pPr>
              <w:rPr>
                <w:i/>
                <w:sz w:val="18"/>
                <w:szCs w:val="14"/>
              </w:rPr>
            </w:pPr>
          </w:p>
          <w:p w14:paraId="0D3F86B3" w14:textId="77777777" w:rsidR="00F26E61" w:rsidRPr="00F97146" w:rsidRDefault="00F26E61" w:rsidP="00407A8E">
            <w:pPr>
              <w:rPr>
                <w:rFonts w:eastAsia="Segoe UI" w:cs="Segoe UI"/>
                <w:b/>
                <w:bCs/>
                <w:iCs w:val="0"/>
                <w:sz w:val="18"/>
                <w:szCs w:val="14"/>
              </w:rPr>
            </w:pPr>
            <w:r w:rsidRPr="00F97146">
              <w:rPr>
                <w:rFonts w:eastAsia="Segoe UI" w:cs="Segoe UI"/>
                <w:iCs w:val="0"/>
                <w:sz w:val="18"/>
                <w:szCs w:val="14"/>
              </w:rPr>
              <w:t xml:space="preserve">The current version of IVDR text refers to conformity assessment routes applicable for product certificates (class D, </w:t>
            </w:r>
            <w:proofErr w:type="spellStart"/>
            <w:r w:rsidRPr="00F97146">
              <w:rPr>
                <w:rFonts w:eastAsia="Segoe UI" w:cs="Segoe UI"/>
                <w:iCs w:val="0"/>
                <w:sz w:val="18"/>
                <w:szCs w:val="14"/>
              </w:rPr>
              <w:t>CDx</w:t>
            </w:r>
            <w:proofErr w:type="spellEnd"/>
            <w:r w:rsidRPr="00F97146">
              <w:rPr>
                <w:rFonts w:eastAsia="Segoe UI" w:cs="Segoe UI"/>
                <w:iCs w:val="0"/>
                <w:sz w:val="18"/>
                <w:szCs w:val="14"/>
              </w:rPr>
              <w:t>, ST and NPT), whereas the revised text refers to in general class D, class C and class B. This is not possible. NBs can only confirm Basic UDI-DI on certificates for product certificate relevant conformity assessment.</w:t>
            </w:r>
          </w:p>
        </w:tc>
        <w:tc>
          <w:tcPr>
            <w:tcW w:w="5528" w:type="dxa"/>
            <w:tcBorders>
              <w:top w:val="single" w:sz="4" w:space="0" w:color="auto"/>
              <w:left w:val="single" w:sz="4" w:space="0" w:color="auto"/>
              <w:bottom w:val="single" w:sz="4" w:space="0" w:color="auto"/>
              <w:right w:val="single" w:sz="4" w:space="0" w:color="auto"/>
            </w:tcBorders>
          </w:tcPr>
          <w:p w14:paraId="591F3421" w14:textId="77777777" w:rsidR="00F26E61" w:rsidRPr="00F97146" w:rsidRDefault="00F26E61" w:rsidP="00407A8E">
            <w:pPr>
              <w:spacing w:before="60"/>
              <w:rPr>
                <w:iCs w:val="0"/>
                <w:sz w:val="18"/>
                <w:szCs w:val="14"/>
              </w:rPr>
            </w:pPr>
            <w:r w:rsidRPr="00F97146">
              <w:rPr>
                <w:rFonts w:eastAsia="Segoe UI" w:cs="Segoe UI"/>
                <w:iCs w:val="0"/>
                <w:sz w:val="18"/>
                <w:szCs w:val="14"/>
              </w:rPr>
              <w:t>Team NB proposed text:</w:t>
            </w:r>
          </w:p>
          <w:p w14:paraId="1D1FAB2F" w14:textId="77777777" w:rsidR="00F26E61" w:rsidRPr="00F97146" w:rsidRDefault="00F26E61" w:rsidP="00407A8E">
            <w:pPr>
              <w:spacing w:line="276" w:lineRule="auto"/>
              <w:rPr>
                <w:rFonts w:eastAsia="Segoe UI" w:cs="Segoe UI"/>
                <w:iCs w:val="0"/>
                <w:sz w:val="18"/>
                <w:szCs w:val="14"/>
              </w:rPr>
            </w:pPr>
            <w:r w:rsidRPr="00F97146">
              <w:rPr>
                <w:rFonts w:eastAsia="Segoe UI" w:cs="Segoe UI"/>
                <w:iCs w:val="0"/>
                <w:sz w:val="18"/>
                <w:szCs w:val="14"/>
              </w:rPr>
              <w:t>“</w:t>
            </w:r>
            <w:r w:rsidRPr="00F97146">
              <w:rPr>
                <w:rFonts w:eastAsia="Segoe UI" w:cs="Segoe UI"/>
                <w:i/>
                <w:sz w:val="18"/>
                <w:szCs w:val="14"/>
              </w:rPr>
              <w:t xml:space="preserve">For devices that are the subject of a conformity assessment as referred to in Art 48(3) and (4), Art 48(7) in combination Art 48(10a) and/or Art 48 (10b), Art 48(8), and Art 48(9)  in combination Art 48(10a) , the notified body shall confirm in </w:t>
            </w:r>
            <w:proofErr w:type="spellStart"/>
            <w:r w:rsidRPr="00F97146">
              <w:rPr>
                <w:rFonts w:eastAsia="Segoe UI" w:cs="Segoe UI"/>
                <w:i/>
                <w:sz w:val="18"/>
                <w:szCs w:val="14"/>
              </w:rPr>
              <w:t>Eudamed</w:t>
            </w:r>
            <w:proofErr w:type="spellEnd"/>
            <w:r w:rsidRPr="00F97146">
              <w:rPr>
                <w:rFonts w:eastAsia="Segoe UI" w:cs="Segoe UI"/>
                <w:i/>
                <w:sz w:val="18"/>
                <w:szCs w:val="14"/>
              </w:rPr>
              <w:t xml:space="preserve"> that the information referred to in Part B of Annex VI is correct.”</w:t>
            </w:r>
          </w:p>
          <w:p w14:paraId="62F6F1B4" w14:textId="77777777" w:rsidR="00F26E61" w:rsidRPr="00F97146" w:rsidRDefault="00F26E61" w:rsidP="00407A8E">
            <w:pPr>
              <w:rPr>
                <w:iCs w:val="0"/>
                <w:sz w:val="18"/>
                <w:szCs w:val="14"/>
              </w:rPr>
            </w:pPr>
          </w:p>
          <w:p w14:paraId="36A3791B" w14:textId="77777777" w:rsidR="00F26E61" w:rsidRPr="00F97146" w:rsidRDefault="00F26E61" w:rsidP="00407A8E">
            <w:pPr>
              <w:spacing w:before="60"/>
              <w:rPr>
                <w:rFonts w:eastAsia="Segoe UI" w:cs="Segoe UI"/>
                <w:iCs w:val="0"/>
                <w:sz w:val="18"/>
                <w:szCs w:val="14"/>
              </w:rPr>
            </w:pPr>
          </w:p>
        </w:tc>
      </w:tr>
      <w:tr w:rsidR="00F26E61" w:rsidRPr="00F97146" w14:paraId="4FDD8752" w14:textId="77777777" w:rsidTr="0022597C">
        <w:tc>
          <w:tcPr>
            <w:tcW w:w="568" w:type="dxa"/>
          </w:tcPr>
          <w:p w14:paraId="507CFDE6" w14:textId="77777777" w:rsidR="00F26E61" w:rsidRPr="00F97146" w:rsidRDefault="00F26E61" w:rsidP="00407A8E">
            <w:pPr>
              <w:spacing w:line="276" w:lineRule="auto"/>
              <w:ind w:left="-48" w:firstLine="6"/>
              <w:jc w:val="center"/>
              <w:rPr>
                <w:rFonts w:eastAsia="Segoe UI" w:cs="Segoe UI"/>
                <w:iCs w:val="0"/>
                <w:sz w:val="18"/>
                <w:szCs w:val="14"/>
              </w:rPr>
            </w:pPr>
            <w:r w:rsidRPr="00F97146">
              <w:rPr>
                <w:rFonts w:eastAsia="Segoe UI" w:cs="Segoe UI"/>
                <w:iCs w:val="0"/>
                <w:sz w:val="18"/>
                <w:szCs w:val="14"/>
              </w:rPr>
              <w:t>45</w:t>
            </w:r>
          </w:p>
        </w:tc>
        <w:tc>
          <w:tcPr>
            <w:tcW w:w="1134" w:type="dxa"/>
            <w:tcBorders>
              <w:top w:val="single" w:sz="4" w:space="0" w:color="auto"/>
              <w:left w:val="single" w:sz="4" w:space="0" w:color="auto"/>
              <w:bottom w:val="single" w:sz="4" w:space="0" w:color="auto"/>
              <w:right w:val="single" w:sz="4" w:space="0" w:color="auto"/>
            </w:tcBorders>
          </w:tcPr>
          <w:p w14:paraId="66253812" w14:textId="77777777" w:rsidR="00F26E61" w:rsidRPr="00F97146" w:rsidDel="00197808" w:rsidRDefault="00F26E61" w:rsidP="00407A8E">
            <w:pPr>
              <w:spacing w:line="276" w:lineRule="auto"/>
              <w:ind w:left="-48" w:firstLine="6"/>
              <w:jc w:val="center"/>
              <w:rPr>
                <w:rFonts w:eastAsia="Segoe UI" w:cs="Segoe UI"/>
                <w:iCs w:val="0"/>
                <w:sz w:val="18"/>
                <w:szCs w:val="14"/>
              </w:rPr>
            </w:pPr>
            <w:r w:rsidRPr="00F97146">
              <w:rPr>
                <w:rFonts w:eastAsia="Segoe UI" w:cs="Segoe UI"/>
                <w:iCs w:val="0"/>
                <w:sz w:val="18"/>
                <w:szCs w:val="14"/>
              </w:rPr>
              <w:t>101</w:t>
            </w:r>
          </w:p>
        </w:tc>
        <w:tc>
          <w:tcPr>
            <w:tcW w:w="1114" w:type="dxa"/>
            <w:tcBorders>
              <w:top w:val="single" w:sz="4" w:space="0" w:color="auto"/>
              <w:left w:val="single" w:sz="4" w:space="0" w:color="auto"/>
              <w:bottom w:val="single" w:sz="4" w:space="0" w:color="auto"/>
              <w:right w:val="single" w:sz="4" w:space="0" w:color="auto"/>
            </w:tcBorders>
          </w:tcPr>
          <w:p w14:paraId="3CE4EA5F" w14:textId="77777777" w:rsidR="00F26E61" w:rsidRPr="00F97146" w:rsidRDefault="00F26E61" w:rsidP="00407A8E">
            <w:pPr>
              <w:spacing w:line="276" w:lineRule="auto"/>
              <w:ind w:left="75"/>
              <w:jc w:val="center"/>
              <w:rPr>
                <w:rFonts w:eastAsia="Segoe UI" w:cs="Segoe UI"/>
                <w:iCs w:val="0"/>
                <w:sz w:val="18"/>
                <w:szCs w:val="14"/>
              </w:rPr>
            </w:pPr>
            <w:r w:rsidRPr="00F97146">
              <w:rPr>
                <w:iCs w:val="0"/>
                <w:sz w:val="18"/>
                <w:szCs w:val="14"/>
                <w:lang w:val="fr-FR"/>
              </w:rPr>
              <w:t>2</w:t>
            </w:r>
          </w:p>
        </w:tc>
        <w:tc>
          <w:tcPr>
            <w:tcW w:w="1134" w:type="dxa"/>
            <w:tcBorders>
              <w:top w:val="single" w:sz="4" w:space="0" w:color="auto"/>
              <w:left w:val="single" w:sz="4" w:space="0" w:color="auto"/>
              <w:bottom w:val="single" w:sz="4" w:space="0" w:color="auto"/>
              <w:right w:val="single" w:sz="4" w:space="0" w:color="auto"/>
            </w:tcBorders>
          </w:tcPr>
          <w:p w14:paraId="35002491" w14:textId="77777777" w:rsidR="00F26E61" w:rsidRPr="00F97146" w:rsidRDefault="00F26E61" w:rsidP="00407A8E">
            <w:pPr>
              <w:spacing w:line="276" w:lineRule="auto"/>
              <w:jc w:val="center"/>
              <w:rPr>
                <w:rFonts w:eastAsia="Segoe UI" w:cs="Segoe UI"/>
                <w:iCs w:val="0"/>
                <w:sz w:val="18"/>
                <w:szCs w:val="14"/>
              </w:rPr>
            </w:pPr>
            <w:r w:rsidRPr="00F97146">
              <w:rPr>
                <w:bCs/>
                <w:iCs w:val="0"/>
                <w:sz w:val="18"/>
                <w:szCs w:val="14"/>
              </w:rPr>
              <w:t>22</w:t>
            </w:r>
          </w:p>
        </w:tc>
        <w:tc>
          <w:tcPr>
            <w:tcW w:w="1134" w:type="dxa"/>
            <w:tcBorders>
              <w:top w:val="single" w:sz="4" w:space="0" w:color="auto"/>
              <w:left w:val="single" w:sz="4" w:space="0" w:color="auto"/>
              <w:bottom w:val="single" w:sz="4" w:space="0" w:color="auto"/>
              <w:right w:val="single" w:sz="4" w:space="0" w:color="auto"/>
            </w:tcBorders>
          </w:tcPr>
          <w:p w14:paraId="61879149" w14:textId="77777777" w:rsidR="00F26E61" w:rsidRPr="00F97146" w:rsidRDefault="00F26E61" w:rsidP="00407A8E">
            <w:pPr>
              <w:jc w:val="center"/>
              <w:rPr>
                <w:rFonts w:eastAsia="Segoe UI" w:cs="Segoe UI"/>
                <w:iCs w:val="0"/>
                <w:sz w:val="18"/>
                <w:szCs w:val="14"/>
              </w:rPr>
            </w:pPr>
            <w:r w:rsidRPr="00F97146">
              <w:rPr>
                <w:rFonts w:eastAsia="Segoe UI" w:cs="Segoe UI"/>
                <w:iCs w:val="0"/>
                <w:sz w:val="18"/>
                <w:szCs w:val="14"/>
              </w:rPr>
              <w:t>a</w:t>
            </w:r>
          </w:p>
        </w:tc>
        <w:tc>
          <w:tcPr>
            <w:tcW w:w="4840" w:type="dxa"/>
            <w:tcBorders>
              <w:top w:val="single" w:sz="4" w:space="0" w:color="auto"/>
              <w:left w:val="single" w:sz="4" w:space="0" w:color="auto"/>
              <w:bottom w:val="single" w:sz="4" w:space="0" w:color="auto"/>
              <w:right w:val="single" w:sz="4" w:space="0" w:color="auto"/>
            </w:tcBorders>
          </w:tcPr>
          <w:p w14:paraId="28DD89B8" w14:textId="77777777" w:rsidR="00F26E61" w:rsidRPr="00F97146" w:rsidRDefault="00F26E61" w:rsidP="00407A8E">
            <w:pPr>
              <w:spacing w:line="276" w:lineRule="auto"/>
              <w:rPr>
                <w:rFonts w:eastAsia="Segoe UI" w:cs="Segoe UI"/>
                <w:b/>
                <w:bCs/>
                <w:iCs w:val="0"/>
                <w:sz w:val="18"/>
                <w:szCs w:val="14"/>
              </w:rPr>
            </w:pPr>
            <w:r w:rsidRPr="00F97146">
              <w:rPr>
                <w:rFonts w:eastAsia="Segoe UI" w:cs="Segoe UI"/>
                <w:iCs w:val="0"/>
                <w:sz w:val="18"/>
                <w:szCs w:val="14"/>
              </w:rPr>
              <w:t xml:space="preserve">In general, Class C devices include tissue typing, genetic testing, cancer diagnostic, specific disease, and infectious disease diagnostic tests, where there is high individual risk. SSPs are public-facing documents for the public. Without a clear, easy-to-understand summary in </w:t>
            </w:r>
            <w:proofErr w:type="spellStart"/>
            <w:r w:rsidRPr="00F97146">
              <w:rPr>
                <w:rFonts w:eastAsia="Segoe UI" w:cs="Segoe UI"/>
                <w:iCs w:val="0"/>
                <w:sz w:val="18"/>
                <w:szCs w:val="14"/>
              </w:rPr>
              <w:t>Eudamed</w:t>
            </w:r>
            <w:proofErr w:type="spellEnd"/>
            <w:r w:rsidRPr="00F97146">
              <w:rPr>
                <w:rFonts w:eastAsia="Segoe UI" w:cs="Segoe UI"/>
                <w:iCs w:val="0"/>
                <w:sz w:val="18"/>
                <w:szCs w:val="14"/>
              </w:rPr>
              <w:t xml:space="preserve"> for certain </w:t>
            </w:r>
            <w:r w:rsidRPr="00F97146">
              <w:rPr>
                <w:rFonts w:eastAsia="Segoe UI" w:cs="Segoe UI"/>
                <w:iCs w:val="0"/>
                <w:sz w:val="18"/>
                <w:szCs w:val="14"/>
              </w:rPr>
              <w:lastRenderedPageBreak/>
              <w:t>class C devices, healthcare providers and patients lose quick access to critical information on safety, performance, risks, and post-market data. This undermines the IVDR objective of fostering informed use of high-risk devices. SSP serves a supplementary, distilled format tailored to professionals and patients, which IFUs alone may not cover.</w:t>
            </w:r>
          </w:p>
        </w:tc>
        <w:tc>
          <w:tcPr>
            <w:tcW w:w="5528" w:type="dxa"/>
            <w:tcBorders>
              <w:top w:val="single" w:sz="4" w:space="0" w:color="auto"/>
              <w:left w:val="single" w:sz="4" w:space="0" w:color="auto"/>
              <w:bottom w:val="single" w:sz="4" w:space="0" w:color="auto"/>
              <w:right w:val="single" w:sz="4" w:space="0" w:color="auto"/>
            </w:tcBorders>
          </w:tcPr>
          <w:p w14:paraId="55F91668" w14:textId="77777777" w:rsidR="00F26E61" w:rsidRPr="00F97146" w:rsidRDefault="00F26E61" w:rsidP="00407A8E">
            <w:pPr>
              <w:rPr>
                <w:rFonts w:eastAsia="Segoe UI" w:cs="Segoe UI"/>
                <w:iCs w:val="0"/>
                <w:sz w:val="18"/>
                <w:szCs w:val="14"/>
              </w:rPr>
            </w:pPr>
            <w:r w:rsidRPr="00F97146">
              <w:rPr>
                <w:rFonts w:eastAsia="Segoe UI" w:cs="Segoe UI"/>
                <w:iCs w:val="0"/>
                <w:sz w:val="18"/>
                <w:szCs w:val="14"/>
              </w:rPr>
              <w:lastRenderedPageBreak/>
              <w:t xml:space="preserve">From a safety perspective, if the requirement for SSP for Class C devices were removed, manufacturers should at minimum be required to make their IFU easily searchable on their website (ideally retrievable by entering the device name or marker name) and accessible to both healthcare professionals and patients. This would </w:t>
            </w:r>
            <w:r w:rsidRPr="00F97146">
              <w:rPr>
                <w:rFonts w:eastAsia="Segoe UI" w:cs="Segoe UI"/>
                <w:iCs w:val="0"/>
                <w:sz w:val="18"/>
                <w:szCs w:val="14"/>
              </w:rPr>
              <w:lastRenderedPageBreak/>
              <w:t>help ensure that users can readily identify the intended purpose and limitations of the device, even in the absence of SSP oversight.</w:t>
            </w:r>
          </w:p>
        </w:tc>
      </w:tr>
      <w:tr w:rsidR="00F26E61" w:rsidRPr="00F97146" w14:paraId="08BEBA43" w14:textId="77777777" w:rsidTr="0022597C">
        <w:tc>
          <w:tcPr>
            <w:tcW w:w="568" w:type="dxa"/>
          </w:tcPr>
          <w:p w14:paraId="009D3214" w14:textId="77777777" w:rsidR="00F26E61" w:rsidRPr="00F97146" w:rsidRDefault="00F26E61" w:rsidP="00407A8E">
            <w:pPr>
              <w:spacing w:line="276" w:lineRule="auto"/>
              <w:ind w:left="-48" w:firstLine="6"/>
              <w:jc w:val="center"/>
              <w:rPr>
                <w:rFonts w:eastAsia="Segoe UI" w:cs="Segoe UI"/>
                <w:iCs w:val="0"/>
                <w:sz w:val="18"/>
                <w:szCs w:val="14"/>
              </w:rPr>
            </w:pPr>
            <w:r w:rsidRPr="00F97146">
              <w:rPr>
                <w:rFonts w:eastAsia="Segoe UI" w:cs="Segoe UI"/>
                <w:iCs w:val="0"/>
                <w:sz w:val="18"/>
                <w:szCs w:val="14"/>
              </w:rPr>
              <w:lastRenderedPageBreak/>
              <w:t>46</w:t>
            </w:r>
          </w:p>
        </w:tc>
        <w:tc>
          <w:tcPr>
            <w:tcW w:w="1134" w:type="dxa"/>
            <w:tcBorders>
              <w:top w:val="single" w:sz="4" w:space="0" w:color="auto"/>
              <w:left w:val="single" w:sz="4" w:space="0" w:color="auto"/>
              <w:bottom w:val="single" w:sz="4" w:space="0" w:color="auto"/>
              <w:right w:val="single" w:sz="4" w:space="0" w:color="auto"/>
            </w:tcBorders>
          </w:tcPr>
          <w:p w14:paraId="2996E236" w14:textId="77777777" w:rsidR="00F26E61" w:rsidRPr="00F97146" w:rsidDel="00197808" w:rsidRDefault="00F26E61" w:rsidP="00407A8E">
            <w:pPr>
              <w:spacing w:line="276" w:lineRule="auto"/>
              <w:ind w:left="-48" w:firstLine="6"/>
              <w:jc w:val="center"/>
              <w:rPr>
                <w:rFonts w:eastAsia="Segoe UI" w:cs="Segoe UI"/>
                <w:iCs w:val="0"/>
                <w:sz w:val="18"/>
                <w:szCs w:val="14"/>
              </w:rPr>
            </w:pPr>
            <w:r w:rsidRPr="00F97146">
              <w:rPr>
                <w:rFonts w:eastAsia="Segoe UI" w:cs="Segoe UI"/>
                <w:iCs w:val="0"/>
                <w:sz w:val="18"/>
                <w:szCs w:val="14"/>
              </w:rPr>
              <w:t>101</w:t>
            </w:r>
          </w:p>
        </w:tc>
        <w:tc>
          <w:tcPr>
            <w:tcW w:w="1114" w:type="dxa"/>
            <w:tcBorders>
              <w:top w:val="single" w:sz="4" w:space="0" w:color="auto"/>
              <w:left w:val="single" w:sz="4" w:space="0" w:color="auto"/>
              <w:bottom w:val="single" w:sz="4" w:space="0" w:color="auto"/>
              <w:right w:val="single" w:sz="4" w:space="0" w:color="auto"/>
            </w:tcBorders>
          </w:tcPr>
          <w:p w14:paraId="1C710D42" w14:textId="77777777" w:rsidR="00F26E61" w:rsidRPr="00F97146" w:rsidRDefault="00F26E61" w:rsidP="00407A8E">
            <w:pPr>
              <w:spacing w:line="276" w:lineRule="auto"/>
              <w:ind w:left="75"/>
              <w:jc w:val="center"/>
              <w:rPr>
                <w:rFonts w:eastAsia="Segoe UI" w:cs="Segoe UI"/>
                <w:iCs w:val="0"/>
                <w:sz w:val="18"/>
                <w:szCs w:val="14"/>
              </w:rPr>
            </w:pPr>
            <w:r w:rsidRPr="00F97146">
              <w:rPr>
                <w:iCs w:val="0"/>
                <w:sz w:val="18"/>
                <w:szCs w:val="14"/>
                <w:lang w:val="fr-FR"/>
              </w:rPr>
              <w:t>2</w:t>
            </w:r>
          </w:p>
        </w:tc>
        <w:tc>
          <w:tcPr>
            <w:tcW w:w="1134" w:type="dxa"/>
            <w:tcBorders>
              <w:top w:val="single" w:sz="4" w:space="0" w:color="auto"/>
              <w:left w:val="single" w:sz="4" w:space="0" w:color="auto"/>
              <w:bottom w:val="single" w:sz="4" w:space="0" w:color="auto"/>
              <w:right w:val="single" w:sz="4" w:space="0" w:color="auto"/>
            </w:tcBorders>
          </w:tcPr>
          <w:p w14:paraId="38166193" w14:textId="77777777" w:rsidR="00F26E61" w:rsidRPr="00F97146" w:rsidRDefault="00F26E61" w:rsidP="00407A8E">
            <w:pPr>
              <w:spacing w:line="276" w:lineRule="auto"/>
              <w:jc w:val="center"/>
              <w:rPr>
                <w:rFonts w:eastAsia="Segoe UI" w:cs="Segoe UI"/>
                <w:iCs w:val="0"/>
                <w:sz w:val="18"/>
                <w:szCs w:val="14"/>
              </w:rPr>
            </w:pPr>
            <w:r w:rsidRPr="00F97146">
              <w:rPr>
                <w:bCs/>
                <w:iCs w:val="0"/>
                <w:sz w:val="18"/>
                <w:szCs w:val="14"/>
              </w:rPr>
              <w:t>22</w:t>
            </w:r>
          </w:p>
        </w:tc>
        <w:tc>
          <w:tcPr>
            <w:tcW w:w="1134" w:type="dxa"/>
            <w:tcBorders>
              <w:top w:val="single" w:sz="4" w:space="0" w:color="auto"/>
              <w:left w:val="single" w:sz="4" w:space="0" w:color="auto"/>
              <w:bottom w:val="single" w:sz="4" w:space="0" w:color="auto"/>
              <w:right w:val="single" w:sz="4" w:space="0" w:color="auto"/>
            </w:tcBorders>
          </w:tcPr>
          <w:p w14:paraId="4DAA1643" w14:textId="77777777" w:rsidR="00F26E61" w:rsidRPr="00F97146" w:rsidRDefault="00F26E61" w:rsidP="00407A8E">
            <w:pPr>
              <w:jc w:val="center"/>
              <w:rPr>
                <w:rFonts w:eastAsia="Segoe UI" w:cs="Segoe UI"/>
                <w:iCs w:val="0"/>
                <w:sz w:val="18"/>
                <w:szCs w:val="14"/>
              </w:rPr>
            </w:pPr>
            <w:r w:rsidRPr="00F97146">
              <w:rPr>
                <w:rFonts w:eastAsia="Segoe UI" w:cs="Segoe UI"/>
                <w:iCs w:val="0"/>
                <w:sz w:val="18"/>
                <w:szCs w:val="14"/>
              </w:rPr>
              <w:t>b</w:t>
            </w:r>
          </w:p>
        </w:tc>
        <w:tc>
          <w:tcPr>
            <w:tcW w:w="4840" w:type="dxa"/>
            <w:tcBorders>
              <w:top w:val="single" w:sz="4" w:space="0" w:color="auto"/>
              <w:left w:val="single" w:sz="4" w:space="0" w:color="auto"/>
              <w:bottom w:val="single" w:sz="4" w:space="0" w:color="auto"/>
              <w:right w:val="single" w:sz="4" w:space="0" w:color="auto"/>
            </w:tcBorders>
          </w:tcPr>
          <w:p w14:paraId="1124E002" w14:textId="77777777" w:rsidR="00F26E61" w:rsidRPr="00F97146" w:rsidRDefault="00F26E61" w:rsidP="00407A8E">
            <w:pPr>
              <w:rPr>
                <w:rFonts w:eastAsia="Segoe UI" w:cs="Segoe UI"/>
                <w:iCs w:val="0"/>
                <w:sz w:val="18"/>
                <w:szCs w:val="14"/>
              </w:rPr>
            </w:pPr>
            <w:r w:rsidRPr="00F97146">
              <w:rPr>
                <w:rFonts w:eastAsia="Segoe UI" w:cs="Segoe UI"/>
                <w:iCs w:val="0"/>
                <w:sz w:val="18"/>
                <w:szCs w:val="14"/>
              </w:rPr>
              <w:t>SSPs were designed to present information in plain language for intended users. The pared-down version may not cater to non-professionals or self-testers effectively. IFUs often involve dense technical language and lengthy narratives, making it harder for lay users to locate and understand key safety and performance information. IFUs are not always online publicly available.</w:t>
            </w:r>
          </w:p>
          <w:p w14:paraId="4EB27422" w14:textId="77777777" w:rsidR="00F26E61" w:rsidRPr="00F97146" w:rsidRDefault="00F26E61" w:rsidP="00407A8E">
            <w:pPr>
              <w:rPr>
                <w:rFonts w:eastAsia="Segoe UI" w:cs="Segoe UI"/>
                <w:iCs w:val="0"/>
                <w:sz w:val="18"/>
                <w:szCs w:val="14"/>
              </w:rPr>
            </w:pPr>
          </w:p>
          <w:p w14:paraId="2F1E1A2A" w14:textId="77777777" w:rsidR="00F26E61" w:rsidRPr="00F97146" w:rsidRDefault="00F26E61" w:rsidP="00407A8E">
            <w:pPr>
              <w:rPr>
                <w:rFonts w:eastAsia="Segoe UI" w:cs="Segoe UI"/>
                <w:b/>
                <w:bCs/>
                <w:iCs w:val="0"/>
                <w:sz w:val="18"/>
                <w:szCs w:val="14"/>
              </w:rPr>
            </w:pPr>
            <w:r w:rsidRPr="00F97146">
              <w:rPr>
                <w:rFonts w:eastAsia="Segoe UI" w:cs="Segoe UI"/>
                <w:iCs w:val="0"/>
                <w:sz w:val="18"/>
                <w:szCs w:val="14"/>
              </w:rPr>
              <w:t xml:space="preserve">A more concise SSP provides less insights into device limitations (potentially affecting trust from clinicians, patients, and purchasers). Reducing content may erode public trust in regulations thoroughness. The full SSP, publicly uploaded to </w:t>
            </w:r>
            <w:proofErr w:type="spellStart"/>
            <w:r w:rsidRPr="00F97146">
              <w:rPr>
                <w:rFonts w:eastAsia="Segoe UI" w:cs="Segoe UI"/>
                <w:iCs w:val="0"/>
                <w:sz w:val="18"/>
                <w:szCs w:val="14"/>
              </w:rPr>
              <w:t>Eudamed</w:t>
            </w:r>
            <w:proofErr w:type="spellEnd"/>
            <w:r w:rsidRPr="00F97146">
              <w:rPr>
                <w:rFonts w:eastAsia="Segoe UI" w:cs="Segoe UI"/>
                <w:iCs w:val="0"/>
                <w:sz w:val="18"/>
                <w:szCs w:val="14"/>
              </w:rPr>
              <w:t>, enhances accountability. Moreover, the suggested approach is not aligned with revised text of MDR.</w:t>
            </w:r>
          </w:p>
        </w:tc>
        <w:tc>
          <w:tcPr>
            <w:tcW w:w="5528" w:type="dxa"/>
            <w:tcBorders>
              <w:top w:val="single" w:sz="4" w:space="0" w:color="auto"/>
              <w:left w:val="single" w:sz="4" w:space="0" w:color="auto"/>
              <w:bottom w:val="single" w:sz="4" w:space="0" w:color="auto"/>
              <w:right w:val="single" w:sz="4" w:space="0" w:color="auto"/>
            </w:tcBorders>
          </w:tcPr>
          <w:p w14:paraId="30DE809F" w14:textId="77777777" w:rsidR="00F26E61" w:rsidRPr="00F97146" w:rsidRDefault="00F26E61" w:rsidP="00407A8E">
            <w:pPr>
              <w:spacing w:line="276" w:lineRule="auto"/>
              <w:rPr>
                <w:rFonts w:eastAsia="Segoe UI" w:cs="Segoe UI"/>
                <w:iCs w:val="0"/>
                <w:sz w:val="18"/>
                <w:szCs w:val="14"/>
              </w:rPr>
            </w:pPr>
            <w:r w:rsidRPr="00F97146">
              <w:rPr>
                <w:rFonts w:eastAsia="Segoe UI" w:cs="Segoe UI"/>
                <w:iCs w:val="0"/>
                <w:sz w:val="18"/>
                <w:szCs w:val="14"/>
              </w:rPr>
              <w:t>Reinstate A</w:t>
            </w:r>
            <w:r w:rsidRPr="00F97146">
              <w:rPr>
                <w:rFonts w:eastAsiaTheme="minorEastAsia"/>
                <w:iCs w:val="0"/>
                <w:sz w:val="18"/>
                <w:szCs w:val="14"/>
              </w:rPr>
              <w:t>rt 29 (2) concerning the te</w:t>
            </w:r>
            <w:r w:rsidRPr="00F97146">
              <w:rPr>
                <w:rFonts w:eastAsia="Segoe UI" w:cs="Segoe UI"/>
                <w:iCs w:val="0"/>
                <w:sz w:val="18"/>
                <w:szCs w:val="14"/>
              </w:rPr>
              <w:t>xt for SSP content.</w:t>
            </w:r>
          </w:p>
          <w:p w14:paraId="62F9128D" w14:textId="77777777" w:rsidR="00F26E61" w:rsidRPr="00F97146" w:rsidRDefault="00F26E61" w:rsidP="00407A8E">
            <w:pPr>
              <w:rPr>
                <w:iCs w:val="0"/>
                <w:sz w:val="18"/>
                <w:szCs w:val="14"/>
              </w:rPr>
            </w:pPr>
          </w:p>
          <w:p w14:paraId="08498D4F" w14:textId="77777777" w:rsidR="00F26E61" w:rsidRPr="00F97146" w:rsidRDefault="00F26E61" w:rsidP="00407A8E">
            <w:pPr>
              <w:spacing w:before="60"/>
              <w:rPr>
                <w:rFonts w:eastAsia="Segoe UI" w:cs="Segoe UI"/>
                <w:iCs w:val="0"/>
                <w:sz w:val="18"/>
                <w:szCs w:val="14"/>
              </w:rPr>
            </w:pPr>
          </w:p>
        </w:tc>
      </w:tr>
      <w:tr w:rsidR="00F26E61" w:rsidRPr="00F97146" w14:paraId="489F383E" w14:textId="77777777" w:rsidTr="0022597C">
        <w:tc>
          <w:tcPr>
            <w:tcW w:w="568" w:type="dxa"/>
          </w:tcPr>
          <w:p w14:paraId="17FC5669" w14:textId="77777777" w:rsidR="00F26E61" w:rsidRPr="00F97146" w:rsidRDefault="00F26E61" w:rsidP="00407A8E">
            <w:pPr>
              <w:spacing w:line="276" w:lineRule="auto"/>
              <w:ind w:left="-48" w:firstLine="6"/>
              <w:jc w:val="center"/>
              <w:rPr>
                <w:rFonts w:eastAsia="Segoe UI" w:cs="Segoe UI"/>
                <w:iCs w:val="0"/>
                <w:sz w:val="18"/>
                <w:szCs w:val="14"/>
              </w:rPr>
            </w:pPr>
            <w:r w:rsidRPr="00F97146">
              <w:rPr>
                <w:rFonts w:eastAsia="Segoe UI" w:cs="Segoe UI"/>
                <w:iCs w:val="0"/>
                <w:sz w:val="18"/>
                <w:szCs w:val="14"/>
              </w:rPr>
              <w:t>47</w:t>
            </w:r>
          </w:p>
        </w:tc>
        <w:tc>
          <w:tcPr>
            <w:tcW w:w="1134" w:type="dxa"/>
            <w:tcBorders>
              <w:top w:val="single" w:sz="4" w:space="0" w:color="auto"/>
              <w:left w:val="single" w:sz="4" w:space="0" w:color="auto"/>
              <w:bottom w:val="single" w:sz="4" w:space="0" w:color="auto"/>
              <w:right w:val="single" w:sz="4" w:space="0" w:color="auto"/>
            </w:tcBorders>
          </w:tcPr>
          <w:p w14:paraId="468BCB38" w14:textId="77777777" w:rsidR="00F26E61" w:rsidRPr="00F97146" w:rsidDel="00197808" w:rsidRDefault="00F26E61" w:rsidP="00407A8E">
            <w:pPr>
              <w:spacing w:line="276" w:lineRule="auto"/>
              <w:ind w:left="-48" w:firstLine="6"/>
              <w:jc w:val="center"/>
              <w:rPr>
                <w:rFonts w:eastAsia="Segoe UI" w:cs="Segoe UI"/>
                <w:iCs w:val="0"/>
                <w:sz w:val="18"/>
                <w:szCs w:val="14"/>
              </w:rPr>
            </w:pPr>
            <w:r w:rsidRPr="00F97146">
              <w:rPr>
                <w:rFonts w:eastAsia="Segoe UI" w:cs="Segoe UI"/>
                <w:iCs w:val="0"/>
                <w:sz w:val="18"/>
                <w:szCs w:val="14"/>
              </w:rPr>
              <w:t>104</w:t>
            </w:r>
          </w:p>
        </w:tc>
        <w:tc>
          <w:tcPr>
            <w:tcW w:w="1114" w:type="dxa"/>
            <w:tcBorders>
              <w:top w:val="single" w:sz="4" w:space="0" w:color="auto"/>
              <w:left w:val="single" w:sz="4" w:space="0" w:color="auto"/>
              <w:bottom w:val="single" w:sz="4" w:space="0" w:color="auto"/>
              <w:right w:val="single" w:sz="4" w:space="0" w:color="auto"/>
            </w:tcBorders>
          </w:tcPr>
          <w:p w14:paraId="7BFFEB59" w14:textId="77777777" w:rsidR="00F26E61" w:rsidRPr="00F97146" w:rsidRDefault="00F26E61" w:rsidP="00407A8E">
            <w:pPr>
              <w:spacing w:line="276" w:lineRule="auto"/>
              <w:ind w:left="75"/>
              <w:jc w:val="center"/>
              <w:rPr>
                <w:rFonts w:eastAsia="Segoe UI" w:cs="Segoe UI"/>
                <w:iCs w:val="0"/>
                <w:sz w:val="18"/>
                <w:szCs w:val="14"/>
              </w:rPr>
            </w:pPr>
            <w:r w:rsidRPr="00F97146">
              <w:rPr>
                <w:iCs w:val="0"/>
                <w:sz w:val="18"/>
                <w:szCs w:val="14"/>
                <w:lang w:val="fr-FR"/>
              </w:rPr>
              <w:t>2</w:t>
            </w:r>
          </w:p>
        </w:tc>
        <w:tc>
          <w:tcPr>
            <w:tcW w:w="1134" w:type="dxa"/>
            <w:tcBorders>
              <w:top w:val="single" w:sz="4" w:space="0" w:color="auto"/>
              <w:left w:val="single" w:sz="4" w:space="0" w:color="auto"/>
              <w:bottom w:val="single" w:sz="4" w:space="0" w:color="auto"/>
              <w:right w:val="single" w:sz="4" w:space="0" w:color="auto"/>
            </w:tcBorders>
          </w:tcPr>
          <w:p w14:paraId="23F4A487" w14:textId="77777777" w:rsidR="00F26E61" w:rsidRPr="00F97146" w:rsidRDefault="00F26E61" w:rsidP="00407A8E">
            <w:pPr>
              <w:spacing w:line="276" w:lineRule="auto"/>
              <w:jc w:val="center"/>
              <w:rPr>
                <w:rFonts w:eastAsia="Segoe UI" w:cs="Segoe UI"/>
                <w:iCs w:val="0"/>
                <w:sz w:val="18"/>
                <w:szCs w:val="14"/>
              </w:rPr>
            </w:pPr>
            <w:r w:rsidRPr="00F97146">
              <w:rPr>
                <w:rFonts w:eastAsia="Segoe UI" w:cs="Segoe UI"/>
                <w:iCs w:val="0"/>
                <w:sz w:val="18"/>
                <w:szCs w:val="14"/>
              </w:rPr>
              <w:t>29</w:t>
            </w:r>
          </w:p>
        </w:tc>
        <w:tc>
          <w:tcPr>
            <w:tcW w:w="1134" w:type="dxa"/>
            <w:tcBorders>
              <w:top w:val="single" w:sz="4" w:space="0" w:color="auto"/>
              <w:left w:val="single" w:sz="4" w:space="0" w:color="auto"/>
              <w:bottom w:val="single" w:sz="4" w:space="0" w:color="auto"/>
              <w:right w:val="single" w:sz="4" w:space="0" w:color="auto"/>
            </w:tcBorders>
          </w:tcPr>
          <w:p w14:paraId="7B5897CC" w14:textId="77777777" w:rsidR="00F26E61" w:rsidRPr="00F97146" w:rsidRDefault="00F26E61" w:rsidP="00407A8E">
            <w:pPr>
              <w:jc w:val="center"/>
              <w:rPr>
                <w:rFonts w:eastAsia="Segoe UI" w:cs="Segoe UI"/>
                <w:iCs w:val="0"/>
                <w:sz w:val="18"/>
                <w:szCs w:val="14"/>
              </w:rPr>
            </w:pPr>
            <w:r w:rsidRPr="00F97146">
              <w:rPr>
                <w:rFonts w:eastAsia="Segoe UI" w:cs="Segoe UI"/>
                <w:iCs w:val="0"/>
                <w:sz w:val="18"/>
                <w:szCs w:val="14"/>
              </w:rPr>
              <w:t>a</w:t>
            </w:r>
          </w:p>
        </w:tc>
        <w:tc>
          <w:tcPr>
            <w:tcW w:w="4840" w:type="dxa"/>
            <w:tcBorders>
              <w:top w:val="single" w:sz="4" w:space="0" w:color="auto"/>
              <w:left w:val="single" w:sz="4" w:space="0" w:color="auto"/>
              <w:bottom w:val="single" w:sz="4" w:space="0" w:color="auto"/>
              <w:right w:val="single" w:sz="4" w:space="0" w:color="auto"/>
            </w:tcBorders>
          </w:tcPr>
          <w:p w14:paraId="10C45543" w14:textId="77777777" w:rsidR="00F26E61" w:rsidRPr="00F97146" w:rsidRDefault="00F26E61" w:rsidP="00407A8E">
            <w:pPr>
              <w:rPr>
                <w:iCs w:val="0"/>
                <w:sz w:val="18"/>
                <w:szCs w:val="14"/>
              </w:rPr>
            </w:pPr>
            <w:r w:rsidRPr="00F97146">
              <w:rPr>
                <w:rFonts w:eastAsia="Segoe UI" w:cs="Segoe UI"/>
                <w:iCs w:val="0"/>
                <w:sz w:val="18"/>
                <w:szCs w:val="14"/>
              </w:rPr>
              <w:t xml:space="preserve">Commission proposal: </w:t>
            </w:r>
          </w:p>
          <w:p w14:paraId="5707B166" w14:textId="77777777" w:rsidR="00F26E61" w:rsidRPr="00F97146" w:rsidRDefault="00F26E61" w:rsidP="00407A8E">
            <w:pPr>
              <w:rPr>
                <w:rFonts w:eastAsia="Segoe UI" w:cs="Segoe UI"/>
                <w:i/>
                <w:sz w:val="18"/>
                <w:szCs w:val="14"/>
              </w:rPr>
            </w:pPr>
            <w:r w:rsidRPr="00F97146">
              <w:rPr>
                <w:rFonts w:eastAsia="Segoe UI" w:cs="Segoe UI"/>
                <w:i/>
                <w:sz w:val="18"/>
                <w:szCs w:val="14"/>
              </w:rPr>
              <w:t>“(a) in paragraph 3, the second and third subparagraphs are deleted;</w:t>
            </w:r>
          </w:p>
          <w:p w14:paraId="5D2D6986" w14:textId="77777777" w:rsidR="00F26E61" w:rsidRPr="00F97146" w:rsidRDefault="00F26E61" w:rsidP="00407A8E">
            <w:pPr>
              <w:rPr>
                <w:rFonts w:eastAsia="Segoe UI" w:cs="Segoe UI"/>
                <w:i/>
                <w:sz w:val="18"/>
                <w:szCs w:val="14"/>
              </w:rPr>
            </w:pPr>
          </w:p>
          <w:p w14:paraId="323620DB" w14:textId="77777777" w:rsidR="00F26E61" w:rsidRPr="00F97146" w:rsidRDefault="00F26E61" w:rsidP="00407A8E">
            <w:pPr>
              <w:rPr>
                <w:rFonts w:eastAsia="Segoe UI" w:cs="Segoe UI"/>
                <w:i/>
                <w:sz w:val="18"/>
                <w:szCs w:val="14"/>
              </w:rPr>
            </w:pPr>
            <w:r w:rsidRPr="00F97146">
              <w:rPr>
                <w:rFonts w:eastAsia="Segoe UI" w:cs="Segoe UI"/>
                <w:i/>
                <w:sz w:val="18"/>
                <w:szCs w:val="14"/>
              </w:rPr>
              <w:t xml:space="preserve">First sub-paragraph: “Manufacturers of class D devices, other than devices for performance study, shall be subject to </w:t>
            </w:r>
            <w:r w:rsidRPr="00F97146">
              <w:rPr>
                <w:rFonts w:eastAsia="Segoe UI" w:cs="Segoe UI"/>
                <w:i/>
                <w:sz w:val="18"/>
                <w:szCs w:val="14"/>
              </w:rPr>
              <w:lastRenderedPageBreak/>
              <w:t xml:space="preserve">a conformity assessment as specified in Chapters I, II except for Section 5, and in </w:t>
            </w:r>
            <w:r w:rsidRPr="00F97146">
              <w:rPr>
                <w:rFonts w:eastAsia="Segoe UI" w:cs="Segoe UI"/>
                <w:b/>
                <w:bCs/>
                <w:i/>
                <w:sz w:val="18"/>
                <w:szCs w:val="14"/>
              </w:rPr>
              <w:t>Chapter III of Annex IX</w:t>
            </w:r>
            <w:r w:rsidRPr="00F97146">
              <w:rPr>
                <w:rFonts w:eastAsia="Segoe UI" w:cs="Segoe UI"/>
                <w:i/>
                <w:sz w:val="18"/>
                <w:szCs w:val="14"/>
              </w:rPr>
              <w:t>.”</w:t>
            </w:r>
          </w:p>
          <w:p w14:paraId="61974FF7" w14:textId="77777777" w:rsidR="00F26E61" w:rsidRPr="00F97146" w:rsidRDefault="00F26E61" w:rsidP="00407A8E">
            <w:pPr>
              <w:rPr>
                <w:rFonts w:eastAsia="Segoe UI" w:cs="Segoe UI"/>
                <w:iCs w:val="0"/>
                <w:sz w:val="18"/>
                <w:szCs w:val="14"/>
              </w:rPr>
            </w:pPr>
          </w:p>
          <w:p w14:paraId="04E3B1D7" w14:textId="77777777" w:rsidR="00F26E61" w:rsidRPr="00F97146" w:rsidRDefault="00F26E61" w:rsidP="00407A8E">
            <w:pPr>
              <w:rPr>
                <w:rFonts w:eastAsia="Segoe UI" w:cs="Segoe UI"/>
                <w:iCs w:val="0"/>
                <w:sz w:val="18"/>
                <w:szCs w:val="14"/>
              </w:rPr>
            </w:pPr>
            <w:r w:rsidRPr="00F97146">
              <w:rPr>
                <w:rFonts w:eastAsia="Segoe UI" w:cs="Segoe UI"/>
                <w:iCs w:val="0"/>
                <w:sz w:val="18"/>
                <w:szCs w:val="14"/>
              </w:rPr>
              <w:t>Chapter III is not currently overseen by NBs under the IVDR, creating a gap in formal conformity coverage.</w:t>
            </w:r>
          </w:p>
          <w:p w14:paraId="2E2A494B" w14:textId="77777777" w:rsidR="00F26E61" w:rsidRPr="00F97146" w:rsidRDefault="00F26E61" w:rsidP="00407A8E">
            <w:pPr>
              <w:rPr>
                <w:rFonts w:eastAsia="Segoe UI" w:cs="Segoe UI"/>
                <w:iCs w:val="0"/>
                <w:sz w:val="18"/>
                <w:szCs w:val="14"/>
              </w:rPr>
            </w:pPr>
          </w:p>
          <w:p w14:paraId="274A80F7" w14:textId="77777777" w:rsidR="00F26E61" w:rsidRPr="00F97146" w:rsidRDefault="00F26E61" w:rsidP="00407A8E">
            <w:pPr>
              <w:rPr>
                <w:rFonts w:eastAsia="Segoe UI" w:cs="Segoe UI"/>
                <w:b/>
                <w:bCs/>
                <w:iCs w:val="0"/>
                <w:sz w:val="18"/>
                <w:szCs w:val="14"/>
              </w:rPr>
            </w:pPr>
            <w:r w:rsidRPr="00F97146">
              <w:rPr>
                <w:rFonts w:eastAsia="Segoe UI" w:cs="Segoe UI"/>
                <w:iCs w:val="0"/>
                <w:sz w:val="18"/>
                <w:szCs w:val="14"/>
              </w:rPr>
              <w:t>Publicly available NB certificates for IVDR are limited to Chapters I and II; there's no trackable NB certificate for Chapter III under IVDR.</w:t>
            </w:r>
          </w:p>
        </w:tc>
        <w:tc>
          <w:tcPr>
            <w:tcW w:w="5528" w:type="dxa"/>
            <w:tcBorders>
              <w:top w:val="single" w:sz="4" w:space="0" w:color="auto"/>
              <w:left w:val="single" w:sz="4" w:space="0" w:color="auto"/>
              <w:bottom w:val="single" w:sz="4" w:space="0" w:color="auto"/>
              <w:right w:val="single" w:sz="4" w:space="0" w:color="auto"/>
            </w:tcBorders>
          </w:tcPr>
          <w:p w14:paraId="7042387A" w14:textId="77777777" w:rsidR="00F26E61" w:rsidRPr="00F97146" w:rsidRDefault="00F26E61" w:rsidP="00407A8E">
            <w:pPr>
              <w:spacing w:before="60"/>
              <w:rPr>
                <w:iCs w:val="0"/>
                <w:sz w:val="18"/>
                <w:szCs w:val="14"/>
              </w:rPr>
            </w:pPr>
            <w:r w:rsidRPr="00F97146">
              <w:rPr>
                <w:rFonts w:eastAsia="Segoe UI" w:cs="Segoe UI"/>
                <w:iCs w:val="0"/>
                <w:sz w:val="18"/>
                <w:szCs w:val="14"/>
              </w:rPr>
              <w:lastRenderedPageBreak/>
              <w:t>Team NB proposed text:</w:t>
            </w:r>
          </w:p>
          <w:p w14:paraId="377D9BBA" w14:textId="77777777" w:rsidR="00F26E61" w:rsidRPr="00F97146" w:rsidRDefault="00F26E61" w:rsidP="00407A8E">
            <w:pPr>
              <w:spacing w:before="60"/>
              <w:rPr>
                <w:rFonts w:eastAsia="Segoe UI" w:cs="Segoe UI"/>
                <w:b/>
                <w:bCs/>
                <w:iCs w:val="0"/>
                <w:sz w:val="18"/>
                <w:szCs w:val="14"/>
              </w:rPr>
            </w:pPr>
            <w:r w:rsidRPr="00F97146">
              <w:rPr>
                <w:rFonts w:eastAsia="Segoe UI" w:cs="Segoe UI"/>
                <w:b/>
                <w:bCs/>
                <w:iCs w:val="0"/>
                <w:sz w:val="18"/>
                <w:szCs w:val="14"/>
              </w:rPr>
              <w:t>Option A: Clarify NB Inclusion</w:t>
            </w:r>
          </w:p>
          <w:p w14:paraId="68CC0EB3" w14:textId="77777777" w:rsidR="00F26E61" w:rsidRPr="00F97146" w:rsidRDefault="00F26E61" w:rsidP="00407A8E">
            <w:pPr>
              <w:spacing w:before="60"/>
              <w:rPr>
                <w:rFonts w:eastAsia="Segoe UI" w:cs="Segoe UI"/>
                <w:i/>
                <w:sz w:val="18"/>
                <w:szCs w:val="14"/>
              </w:rPr>
            </w:pPr>
            <w:r w:rsidRPr="00F97146">
              <w:rPr>
                <w:rFonts w:eastAsia="Segoe UI" w:cs="Segoe UI"/>
                <w:iCs w:val="0"/>
                <w:sz w:val="18"/>
                <w:szCs w:val="14"/>
              </w:rPr>
              <w:t>“</w:t>
            </w:r>
            <w:r w:rsidRPr="00F97146">
              <w:rPr>
                <w:rFonts w:eastAsia="Segoe UI" w:cs="Segoe UI"/>
                <w:i/>
                <w:sz w:val="18"/>
                <w:szCs w:val="14"/>
              </w:rPr>
              <w:t xml:space="preserve">Manufacturers of Class D devices (excluding performance study devices) must undergo conformity assessment under Chapters I, II (excluding Section 5), and III of Annex IX, conducted by a Notified Body officially designated for all three chapters. Certificate(s) issued by the </w:t>
            </w:r>
            <w:r w:rsidRPr="00F97146">
              <w:rPr>
                <w:rFonts w:eastAsia="Segoe UI" w:cs="Segoe UI"/>
                <w:i/>
                <w:sz w:val="18"/>
                <w:szCs w:val="14"/>
              </w:rPr>
              <w:lastRenderedPageBreak/>
              <w:t>Notified Body must specify compliance with Annex IX Chapters I, II, and III, and be registered in EUDAMED accordingly.”</w:t>
            </w:r>
          </w:p>
          <w:p w14:paraId="775CEAF3" w14:textId="77777777" w:rsidR="00F26E61" w:rsidRPr="00F97146" w:rsidRDefault="00F26E61" w:rsidP="00407A8E">
            <w:pPr>
              <w:spacing w:before="60"/>
              <w:rPr>
                <w:rFonts w:eastAsia="Segoe UI" w:cs="Segoe UI"/>
                <w:iCs w:val="0"/>
                <w:sz w:val="18"/>
                <w:szCs w:val="14"/>
              </w:rPr>
            </w:pPr>
          </w:p>
          <w:p w14:paraId="42AE6B22" w14:textId="77777777" w:rsidR="00F26E61" w:rsidRPr="00F97146" w:rsidRDefault="00F26E61" w:rsidP="00407A8E">
            <w:pPr>
              <w:spacing w:before="60"/>
              <w:rPr>
                <w:b/>
                <w:bCs/>
                <w:iCs w:val="0"/>
                <w:sz w:val="18"/>
                <w:szCs w:val="14"/>
              </w:rPr>
            </w:pPr>
            <w:r w:rsidRPr="00F97146">
              <w:rPr>
                <w:rFonts w:eastAsia="Segoe UI" w:cs="Segoe UI"/>
                <w:b/>
                <w:bCs/>
                <w:iCs w:val="0"/>
                <w:sz w:val="18"/>
                <w:szCs w:val="14"/>
              </w:rPr>
              <w:t>Or</w:t>
            </w:r>
          </w:p>
          <w:p w14:paraId="3850BEC2" w14:textId="77777777" w:rsidR="00F26E61" w:rsidRPr="00F97146" w:rsidRDefault="00F26E61" w:rsidP="00407A8E">
            <w:pPr>
              <w:spacing w:before="60"/>
              <w:rPr>
                <w:rFonts w:eastAsia="Segoe UI" w:cs="Segoe UI"/>
                <w:b/>
                <w:bCs/>
                <w:iCs w:val="0"/>
                <w:sz w:val="18"/>
                <w:szCs w:val="14"/>
              </w:rPr>
            </w:pPr>
            <w:r w:rsidRPr="00F97146">
              <w:rPr>
                <w:rFonts w:eastAsia="Segoe UI" w:cs="Segoe UI"/>
                <w:b/>
                <w:bCs/>
                <w:iCs w:val="0"/>
                <w:sz w:val="18"/>
                <w:szCs w:val="14"/>
              </w:rPr>
              <w:t>Option B: Limit Scope to Chapters I and II</w:t>
            </w:r>
          </w:p>
          <w:p w14:paraId="0CB2F64A" w14:textId="77777777" w:rsidR="00F26E61" w:rsidRPr="00F97146" w:rsidRDefault="00F26E61" w:rsidP="00407A8E">
            <w:pPr>
              <w:spacing w:before="60"/>
              <w:rPr>
                <w:rFonts w:eastAsia="Segoe UI" w:cs="Segoe UI"/>
                <w:iCs w:val="0"/>
                <w:sz w:val="18"/>
                <w:szCs w:val="14"/>
              </w:rPr>
            </w:pPr>
            <w:r w:rsidRPr="00F97146">
              <w:rPr>
                <w:rFonts w:eastAsia="Segoe UI" w:cs="Segoe UI"/>
                <w:iCs w:val="0"/>
                <w:sz w:val="18"/>
                <w:szCs w:val="14"/>
              </w:rPr>
              <w:t>“</w:t>
            </w:r>
            <w:r w:rsidRPr="00F97146">
              <w:rPr>
                <w:rFonts w:eastAsia="Segoe UI" w:cs="Segoe UI"/>
                <w:i/>
                <w:sz w:val="18"/>
                <w:szCs w:val="14"/>
              </w:rPr>
              <w:t>Manufacturers of Class D devices (excluding those for performance studies) must undergo conformity assessment under Chapters I and II of Annex IX. Notified Bodies designated under Annex IX Chapters I and II shall audit QMS and technical documentation as required, with certificates duly”</w:t>
            </w:r>
          </w:p>
        </w:tc>
      </w:tr>
      <w:tr w:rsidR="00F26E61" w:rsidRPr="00F97146" w14:paraId="0C79EAE8" w14:textId="77777777" w:rsidTr="0022597C">
        <w:tc>
          <w:tcPr>
            <w:tcW w:w="568" w:type="dxa"/>
          </w:tcPr>
          <w:p w14:paraId="1F3D87AE" w14:textId="77777777" w:rsidR="00F26E61" w:rsidRPr="00F97146" w:rsidRDefault="00F26E61" w:rsidP="00407A8E">
            <w:pPr>
              <w:spacing w:line="276" w:lineRule="auto"/>
              <w:ind w:left="-48" w:firstLine="6"/>
              <w:jc w:val="center"/>
              <w:rPr>
                <w:rFonts w:eastAsia="Segoe UI" w:cs="Segoe UI"/>
                <w:iCs w:val="0"/>
                <w:sz w:val="18"/>
                <w:szCs w:val="14"/>
              </w:rPr>
            </w:pPr>
            <w:r w:rsidRPr="00F97146">
              <w:rPr>
                <w:rFonts w:eastAsia="Segoe UI" w:cs="Segoe UI"/>
                <w:iCs w:val="0"/>
                <w:sz w:val="18"/>
                <w:szCs w:val="14"/>
              </w:rPr>
              <w:lastRenderedPageBreak/>
              <w:t>48</w:t>
            </w:r>
          </w:p>
        </w:tc>
        <w:tc>
          <w:tcPr>
            <w:tcW w:w="1134" w:type="dxa"/>
            <w:tcBorders>
              <w:top w:val="single" w:sz="4" w:space="0" w:color="auto"/>
              <w:left w:val="single" w:sz="4" w:space="0" w:color="auto"/>
              <w:bottom w:val="single" w:sz="4" w:space="0" w:color="auto"/>
              <w:right w:val="single" w:sz="4" w:space="0" w:color="auto"/>
            </w:tcBorders>
          </w:tcPr>
          <w:p w14:paraId="168AD9EF" w14:textId="77777777" w:rsidR="00F26E61" w:rsidRPr="00F97146" w:rsidDel="00197808" w:rsidRDefault="00F26E61" w:rsidP="00407A8E">
            <w:pPr>
              <w:spacing w:line="276" w:lineRule="auto"/>
              <w:ind w:left="-48" w:firstLine="6"/>
              <w:jc w:val="center"/>
              <w:rPr>
                <w:rFonts w:eastAsia="Segoe UI" w:cs="Segoe UI"/>
                <w:iCs w:val="0"/>
                <w:sz w:val="18"/>
                <w:szCs w:val="14"/>
              </w:rPr>
            </w:pPr>
            <w:r w:rsidRPr="00F97146">
              <w:rPr>
                <w:rFonts w:eastAsia="Segoe UI" w:cs="Segoe UI"/>
                <w:iCs w:val="0"/>
                <w:sz w:val="18"/>
                <w:szCs w:val="14"/>
              </w:rPr>
              <w:t>105</w:t>
            </w:r>
          </w:p>
        </w:tc>
        <w:tc>
          <w:tcPr>
            <w:tcW w:w="1114" w:type="dxa"/>
            <w:tcBorders>
              <w:top w:val="single" w:sz="4" w:space="0" w:color="auto"/>
              <w:left w:val="single" w:sz="4" w:space="0" w:color="auto"/>
              <w:bottom w:val="single" w:sz="4" w:space="0" w:color="auto"/>
              <w:right w:val="single" w:sz="4" w:space="0" w:color="auto"/>
            </w:tcBorders>
          </w:tcPr>
          <w:p w14:paraId="67D75062" w14:textId="77777777" w:rsidR="00F26E61" w:rsidRPr="00F97146" w:rsidRDefault="00F26E61" w:rsidP="00407A8E">
            <w:pPr>
              <w:spacing w:line="276" w:lineRule="auto"/>
              <w:ind w:left="75"/>
              <w:jc w:val="center"/>
              <w:rPr>
                <w:rFonts w:eastAsia="Segoe UI" w:cs="Segoe UI"/>
                <w:iCs w:val="0"/>
                <w:sz w:val="18"/>
                <w:szCs w:val="14"/>
              </w:rPr>
            </w:pPr>
            <w:r w:rsidRPr="00F97146">
              <w:rPr>
                <w:iCs w:val="0"/>
                <w:sz w:val="18"/>
                <w:szCs w:val="14"/>
                <w:lang w:val="fr-FR"/>
              </w:rPr>
              <w:t>2</w:t>
            </w:r>
          </w:p>
        </w:tc>
        <w:tc>
          <w:tcPr>
            <w:tcW w:w="1134" w:type="dxa"/>
            <w:tcBorders>
              <w:top w:val="single" w:sz="4" w:space="0" w:color="auto"/>
              <w:left w:val="single" w:sz="4" w:space="0" w:color="auto"/>
              <w:bottom w:val="single" w:sz="4" w:space="0" w:color="auto"/>
              <w:right w:val="single" w:sz="4" w:space="0" w:color="auto"/>
            </w:tcBorders>
          </w:tcPr>
          <w:p w14:paraId="4A33A009" w14:textId="77777777" w:rsidR="00F26E61" w:rsidRPr="00F97146" w:rsidRDefault="00F26E61" w:rsidP="00407A8E">
            <w:pPr>
              <w:spacing w:line="276" w:lineRule="auto"/>
              <w:jc w:val="center"/>
              <w:rPr>
                <w:rFonts w:eastAsia="Segoe UI" w:cs="Segoe UI"/>
                <w:iCs w:val="0"/>
                <w:sz w:val="18"/>
                <w:szCs w:val="14"/>
              </w:rPr>
            </w:pPr>
            <w:r w:rsidRPr="00F97146">
              <w:rPr>
                <w:bCs/>
                <w:iCs w:val="0"/>
                <w:sz w:val="18"/>
                <w:szCs w:val="14"/>
              </w:rPr>
              <w:t>29</w:t>
            </w:r>
          </w:p>
        </w:tc>
        <w:tc>
          <w:tcPr>
            <w:tcW w:w="1134" w:type="dxa"/>
            <w:tcBorders>
              <w:top w:val="single" w:sz="4" w:space="0" w:color="auto"/>
              <w:left w:val="single" w:sz="4" w:space="0" w:color="auto"/>
              <w:bottom w:val="single" w:sz="4" w:space="0" w:color="auto"/>
              <w:right w:val="single" w:sz="4" w:space="0" w:color="auto"/>
            </w:tcBorders>
          </w:tcPr>
          <w:p w14:paraId="398F4A58" w14:textId="77777777" w:rsidR="00F26E61" w:rsidRPr="00F97146" w:rsidRDefault="00F26E61" w:rsidP="00407A8E">
            <w:pPr>
              <w:jc w:val="center"/>
              <w:rPr>
                <w:rFonts w:eastAsia="Segoe UI" w:cs="Segoe UI"/>
                <w:iCs w:val="0"/>
                <w:sz w:val="18"/>
                <w:szCs w:val="14"/>
              </w:rPr>
            </w:pPr>
            <w:r w:rsidRPr="00F97146">
              <w:rPr>
                <w:rFonts w:eastAsia="Segoe UI" w:cs="Segoe UI"/>
                <w:iCs w:val="0"/>
                <w:sz w:val="18"/>
                <w:szCs w:val="14"/>
              </w:rPr>
              <w:t>h</w:t>
            </w:r>
          </w:p>
        </w:tc>
        <w:tc>
          <w:tcPr>
            <w:tcW w:w="4840" w:type="dxa"/>
            <w:tcBorders>
              <w:top w:val="single" w:sz="4" w:space="0" w:color="auto"/>
              <w:left w:val="single" w:sz="4" w:space="0" w:color="auto"/>
              <w:bottom w:val="single" w:sz="4" w:space="0" w:color="auto"/>
              <w:right w:val="single" w:sz="4" w:space="0" w:color="auto"/>
            </w:tcBorders>
          </w:tcPr>
          <w:p w14:paraId="4923D9F9" w14:textId="77777777" w:rsidR="00F26E61" w:rsidRPr="00F97146" w:rsidRDefault="00F26E61" w:rsidP="00407A8E">
            <w:pPr>
              <w:rPr>
                <w:rFonts w:eastAsia="Segoe UI" w:cs="Segoe UI"/>
                <w:iCs w:val="0"/>
                <w:sz w:val="18"/>
                <w:szCs w:val="14"/>
              </w:rPr>
            </w:pPr>
            <w:r w:rsidRPr="00F97146">
              <w:rPr>
                <w:rFonts w:eastAsia="Segoe UI" w:cs="Segoe UI"/>
                <w:iCs w:val="0"/>
                <w:sz w:val="18"/>
                <w:szCs w:val="14"/>
              </w:rPr>
              <w:t>A significant patient</w:t>
            </w:r>
            <w:r w:rsidRPr="00F97146">
              <w:rPr>
                <w:rFonts w:ascii="Cambria Math" w:eastAsia="Segoe UI" w:hAnsi="Cambria Math" w:cs="Cambria Math"/>
                <w:iCs w:val="0"/>
                <w:sz w:val="18"/>
                <w:szCs w:val="14"/>
              </w:rPr>
              <w:t>‑</w:t>
            </w:r>
            <w:r w:rsidRPr="00F97146">
              <w:rPr>
                <w:rFonts w:eastAsia="Segoe UI" w:cs="Segoe UI"/>
                <w:iCs w:val="0"/>
                <w:sz w:val="18"/>
                <w:szCs w:val="14"/>
              </w:rPr>
              <w:t xml:space="preserve">safety concern arises for Class A sterile IVDs, such as blood collection tubes used with an open connection to a venous or arterial puncture needle (classified as Class </w:t>
            </w:r>
            <w:proofErr w:type="spellStart"/>
            <w:r w:rsidRPr="00F97146">
              <w:rPr>
                <w:rFonts w:eastAsia="Segoe UI" w:cs="Segoe UI"/>
                <w:iCs w:val="0"/>
                <w:sz w:val="18"/>
                <w:szCs w:val="14"/>
              </w:rPr>
              <w:t>IIa</w:t>
            </w:r>
            <w:proofErr w:type="spellEnd"/>
            <w:r w:rsidRPr="00F97146">
              <w:rPr>
                <w:rFonts w:eastAsia="Segoe UI" w:cs="Segoe UI"/>
                <w:iCs w:val="0"/>
                <w:sz w:val="18"/>
                <w:szCs w:val="14"/>
              </w:rPr>
              <w:t xml:space="preserve"> under the MDR).</w:t>
            </w:r>
          </w:p>
          <w:p w14:paraId="7F6E14A6" w14:textId="77777777" w:rsidR="00F26E61" w:rsidRPr="00F97146" w:rsidRDefault="00F26E61" w:rsidP="00407A8E">
            <w:pPr>
              <w:rPr>
                <w:iCs w:val="0"/>
                <w:sz w:val="18"/>
                <w:szCs w:val="14"/>
              </w:rPr>
            </w:pPr>
          </w:p>
          <w:p w14:paraId="3D1B136D" w14:textId="77777777" w:rsidR="00F26E61" w:rsidRPr="00F97146" w:rsidRDefault="00F26E61" w:rsidP="00407A8E">
            <w:pPr>
              <w:rPr>
                <w:rFonts w:eastAsia="Segoe UI" w:cs="Segoe UI"/>
                <w:iCs w:val="0"/>
                <w:sz w:val="18"/>
                <w:szCs w:val="14"/>
              </w:rPr>
            </w:pPr>
            <w:r w:rsidRPr="00F97146">
              <w:rPr>
                <w:rFonts w:eastAsia="Segoe UI" w:cs="Segoe UI"/>
                <w:iCs w:val="0"/>
                <w:sz w:val="18"/>
                <w:szCs w:val="14"/>
              </w:rPr>
              <w:t>Studies have demonstrated that these tubes must be sterile due to the risk of backflow of blood into the patient’s venous system. This can happen due to changes in the pressure if the tourniquet is released while the tube is still connected and the vacuum is exhausted, the sudden drop in venous pressure can pull fluid back from the tube. It can also happen by holding the tube above the puncture site which allows gravity to facilitate the movement of contents back into the vein.</w:t>
            </w:r>
          </w:p>
          <w:p w14:paraId="52C4FE75" w14:textId="77777777" w:rsidR="00F26E61" w:rsidRPr="00F97146" w:rsidRDefault="00F26E61" w:rsidP="00407A8E">
            <w:pPr>
              <w:rPr>
                <w:iCs w:val="0"/>
                <w:sz w:val="18"/>
                <w:szCs w:val="14"/>
              </w:rPr>
            </w:pPr>
          </w:p>
          <w:p w14:paraId="6A62C1BE" w14:textId="77777777" w:rsidR="00F26E61" w:rsidRPr="00F97146" w:rsidRDefault="00F26E61" w:rsidP="00407A8E">
            <w:pPr>
              <w:rPr>
                <w:rFonts w:eastAsia="Segoe UI" w:cs="Segoe UI"/>
                <w:b/>
                <w:bCs/>
                <w:iCs w:val="0"/>
                <w:sz w:val="18"/>
                <w:szCs w:val="14"/>
              </w:rPr>
            </w:pPr>
            <w:r w:rsidRPr="00F97146">
              <w:rPr>
                <w:rFonts w:eastAsia="Segoe UI" w:cs="Segoe UI"/>
                <w:iCs w:val="0"/>
                <w:sz w:val="18"/>
                <w:szCs w:val="14"/>
              </w:rPr>
              <w:t xml:space="preserve">Significant lack of experience among IVD manufacturers with sterile products in general, and particularly with a sterile </w:t>
            </w:r>
            <w:r w:rsidRPr="00F97146">
              <w:rPr>
                <w:rFonts w:eastAsia="Segoe UI" w:cs="Segoe UI"/>
                <w:iCs w:val="0"/>
                <w:sz w:val="18"/>
                <w:szCs w:val="14"/>
              </w:rPr>
              <w:lastRenderedPageBreak/>
              <w:t>validation, already now resulting in a relatively high number of safety issues.</w:t>
            </w:r>
          </w:p>
        </w:tc>
        <w:tc>
          <w:tcPr>
            <w:tcW w:w="5528" w:type="dxa"/>
            <w:tcBorders>
              <w:top w:val="single" w:sz="4" w:space="0" w:color="auto"/>
              <w:left w:val="single" w:sz="4" w:space="0" w:color="auto"/>
              <w:bottom w:val="single" w:sz="4" w:space="0" w:color="auto"/>
              <w:right w:val="single" w:sz="4" w:space="0" w:color="auto"/>
            </w:tcBorders>
          </w:tcPr>
          <w:p w14:paraId="69AF7DCC" w14:textId="77777777" w:rsidR="00F26E61" w:rsidRPr="00F97146" w:rsidRDefault="00F26E61" w:rsidP="00407A8E">
            <w:pPr>
              <w:spacing w:before="60"/>
              <w:rPr>
                <w:rFonts w:eastAsia="Segoe UI" w:cs="Segoe UI"/>
                <w:iCs w:val="0"/>
                <w:sz w:val="18"/>
                <w:szCs w:val="14"/>
              </w:rPr>
            </w:pPr>
            <w:r w:rsidRPr="00F97146">
              <w:rPr>
                <w:rFonts w:eastAsia="Segoe UI" w:cs="Segoe UI"/>
                <w:iCs w:val="0"/>
                <w:sz w:val="18"/>
                <w:szCs w:val="14"/>
              </w:rPr>
              <w:lastRenderedPageBreak/>
              <w:t xml:space="preserve">Reinstate 48(10). </w:t>
            </w:r>
          </w:p>
        </w:tc>
      </w:tr>
      <w:tr w:rsidR="00F26E61" w:rsidRPr="00F97146" w14:paraId="0ABFCE86" w14:textId="77777777" w:rsidTr="0022597C">
        <w:tc>
          <w:tcPr>
            <w:tcW w:w="568" w:type="dxa"/>
          </w:tcPr>
          <w:p w14:paraId="3C357A0F" w14:textId="77777777" w:rsidR="00F26E61" w:rsidRPr="00F97146" w:rsidRDefault="00F26E61" w:rsidP="00407A8E">
            <w:pPr>
              <w:spacing w:line="276" w:lineRule="auto"/>
              <w:ind w:left="-48" w:firstLine="6"/>
              <w:jc w:val="center"/>
              <w:rPr>
                <w:rFonts w:eastAsia="Segoe UI" w:cs="Segoe UI"/>
                <w:iCs w:val="0"/>
                <w:sz w:val="18"/>
                <w:szCs w:val="14"/>
              </w:rPr>
            </w:pPr>
            <w:r w:rsidRPr="00F97146">
              <w:rPr>
                <w:rFonts w:eastAsia="Segoe UI" w:cs="Segoe UI"/>
                <w:iCs w:val="0"/>
                <w:sz w:val="18"/>
                <w:szCs w:val="14"/>
              </w:rPr>
              <w:t>49</w:t>
            </w:r>
          </w:p>
        </w:tc>
        <w:tc>
          <w:tcPr>
            <w:tcW w:w="1134" w:type="dxa"/>
            <w:tcBorders>
              <w:top w:val="single" w:sz="4" w:space="0" w:color="auto"/>
              <w:left w:val="single" w:sz="4" w:space="0" w:color="auto"/>
              <w:bottom w:val="single" w:sz="4" w:space="0" w:color="auto"/>
              <w:right w:val="single" w:sz="4" w:space="0" w:color="auto"/>
            </w:tcBorders>
          </w:tcPr>
          <w:p w14:paraId="6A9858A1" w14:textId="77777777" w:rsidR="00F26E61" w:rsidRPr="00F97146" w:rsidDel="00197808" w:rsidRDefault="00F26E61" w:rsidP="00407A8E">
            <w:pPr>
              <w:spacing w:line="276" w:lineRule="auto"/>
              <w:ind w:left="-48" w:firstLine="6"/>
              <w:jc w:val="center"/>
              <w:rPr>
                <w:rFonts w:eastAsia="Segoe UI" w:cs="Segoe UI"/>
                <w:iCs w:val="0"/>
                <w:sz w:val="18"/>
                <w:szCs w:val="14"/>
              </w:rPr>
            </w:pPr>
            <w:r w:rsidRPr="00F97146">
              <w:rPr>
                <w:rFonts w:eastAsia="Segoe UI" w:cs="Segoe UI"/>
                <w:iCs w:val="0"/>
                <w:sz w:val="18"/>
                <w:szCs w:val="14"/>
              </w:rPr>
              <w:t>105 / 25</w:t>
            </w:r>
          </w:p>
        </w:tc>
        <w:tc>
          <w:tcPr>
            <w:tcW w:w="1114" w:type="dxa"/>
            <w:tcBorders>
              <w:top w:val="single" w:sz="4" w:space="0" w:color="auto"/>
              <w:left w:val="single" w:sz="4" w:space="0" w:color="auto"/>
              <w:bottom w:val="single" w:sz="4" w:space="0" w:color="auto"/>
              <w:right w:val="single" w:sz="4" w:space="0" w:color="auto"/>
            </w:tcBorders>
          </w:tcPr>
          <w:p w14:paraId="718D07C1" w14:textId="77777777" w:rsidR="00F26E61" w:rsidRPr="00F97146" w:rsidRDefault="00F26E61" w:rsidP="00407A8E">
            <w:pPr>
              <w:spacing w:line="276" w:lineRule="auto"/>
              <w:ind w:left="75"/>
              <w:jc w:val="center"/>
              <w:rPr>
                <w:rFonts w:eastAsia="Segoe UI" w:cs="Segoe UI"/>
                <w:iCs w:val="0"/>
                <w:sz w:val="18"/>
                <w:szCs w:val="14"/>
              </w:rPr>
            </w:pPr>
            <w:r w:rsidRPr="00F97146">
              <w:rPr>
                <w:iCs w:val="0"/>
                <w:sz w:val="18"/>
                <w:szCs w:val="14"/>
                <w:lang w:val="fr-FR"/>
              </w:rPr>
              <w:t>2 / Ann II</w:t>
            </w:r>
          </w:p>
        </w:tc>
        <w:tc>
          <w:tcPr>
            <w:tcW w:w="1134" w:type="dxa"/>
            <w:tcBorders>
              <w:top w:val="single" w:sz="4" w:space="0" w:color="auto"/>
              <w:left w:val="single" w:sz="4" w:space="0" w:color="auto"/>
              <w:bottom w:val="single" w:sz="4" w:space="0" w:color="auto"/>
              <w:right w:val="single" w:sz="4" w:space="0" w:color="auto"/>
            </w:tcBorders>
          </w:tcPr>
          <w:p w14:paraId="4A6F6D33" w14:textId="77777777" w:rsidR="00F26E61" w:rsidRPr="00F97146" w:rsidRDefault="00F26E61" w:rsidP="00407A8E">
            <w:pPr>
              <w:spacing w:line="276" w:lineRule="auto"/>
              <w:jc w:val="center"/>
              <w:rPr>
                <w:rFonts w:eastAsia="Segoe UI" w:cs="Segoe UI"/>
                <w:iCs w:val="0"/>
                <w:sz w:val="18"/>
                <w:szCs w:val="14"/>
              </w:rPr>
            </w:pPr>
            <w:r w:rsidRPr="00F97146">
              <w:rPr>
                <w:rFonts w:eastAsia="Segoe UI" w:cs="Segoe UI"/>
                <w:iCs w:val="0"/>
                <w:sz w:val="18"/>
                <w:szCs w:val="14"/>
              </w:rPr>
              <w:t>29 / 6</w:t>
            </w:r>
          </w:p>
        </w:tc>
        <w:tc>
          <w:tcPr>
            <w:tcW w:w="1134" w:type="dxa"/>
            <w:tcBorders>
              <w:top w:val="single" w:sz="4" w:space="0" w:color="auto"/>
              <w:left w:val="single" w:sz="4" w:space="0" w:color="auto"/>
              <w:bottom w:val="single" w:sz="4" w:space="0" w:color="auto"/>
              <w:right w:val="single" w:sz="4" w:space="0" w:color="auto"/>
            </w:tcBorders>
          </w:tcPr>
          <w:p w14:paraId="2FBD218F" w14:textId="77777777" w:rsidR="00F26E61" w:rsidRPr="00F97146" w:rsidRDefault="00F26E61" w:rsidP="00407A8E">
            <w:pPr>
              <w:jc w:val="center"/>
              <w:rPr>
                <w:rFonts w:eastAsia="Segoe UI" w:cs="Segoe UI"/>
                <w:iCs w:val="0"/>
                <w:sz w:val="18"/>
                <w:szCs w:val="14"/>
              </w:rPr>
            </w:pPr>
            <w:r w:rsidRPr="00F97146">
              <w:rPr>
                <w:rFonts w:eastAsia="Segoe UI" w:cs="Segoe UI"/>
                <w:iCs w:val="0"/>
                <w:sz w:val="18"/>
                <w:szCs w:val="14"/>
              </w:rPr>
              <w:t>29i / 6n</w:t>
            </w:r>
          </w:p>
        </w:tc>
        <w:tc>
          <w:tcPr>
            <w:tcW w:w="4840" w:type="dxa"/>
            <w:tcBorders>
              <w:top w:val="single" w:sz="4" w:space="0" w:color="auto"/>
              <w:left w:val="single" w:sz="4" w:space="0" w:color="auto"/>
              <w:bottom w:val="single" w:sz="4" w:space="0" w:color="auto"/>
              <w:right w:val="single" w:sz="4" w:space="0" w:color="auto"/>
            </w:tcBorders>
          </w:tcPr>
          <w:p w14:paraId="05BD313C" w14:textId="77777777" w:rsidR="00F26E61" w:rsidRPr="00F97146" w:rsidRDefault="00F26E61" w:rsidP="00407A8E">
            <w:pPr>
              <w:rPr>
                <w:rFonts w:eastAsia="Segoe UI" w:cs="Segoe UI"/>
                <w:iCs w:val="0"/>
                <w:sz w:val="18"/>
                <w:szCs w:val="14"/>
              </w:rPr>
            </w:pPr>
            <w:r w:rsidRPr="00F97146">
              <w:rPr>
                <w:rFonts w:eastAsia="Segoe UI" w:cs="Segoe UI"/>
                <w:iCs w:val="0"/>
                <w:sz w:val="18"/>
                <w:szCs w:val="14"/>
              </w:rPr>
              <w:t>These sections should also be applicable for the near-patient testing (NPT) devices. Users of NPT devices often lack experience with IVD devices and have only limited knowledge on specimen handling, not typically a trained laboratory professional. There are also high country-to-country differences in educational and training background.</w:t>
            </w:r>
          </w:p>
          <w:p w14:paraId="46168CCF" w14:textId="77777777" w:rsidR="00F26E61" w:rsidRPr="00F97146" w:rsidRDefault="00F26E61" w:rsidP="00407A8E">
            <w:pPr>
              <w:rPr>
                <w:iCs w:val="0"/>
                <w:sz w:val="18"/>
                <w:szCs w:val="14"/>
              </w:rPr>
            </w:pPr>
          </w:p>
          <w:p w14:paraId="6A24BC03" w14:textId="77777777" w:rsidR="00F26E61" w:rsidRPr="00F97146" w:rsidRDefault="00F26E61" w:rsidP="00407A8E">
            <w:pPr>
              <w:rPr>
                <w:rFonts w:eastAsia="Segoe UI" w:cs="Segoe UI"/>
                <w:iCs w:val="0"/>
                <w:sz w:val="18"/>
                <w:szCs w:val="14"/>
              </w:rPr>
            </w:pPr>
            <w:r w:rsidRPr="00F97146">
              <w:rPr>
                <w:rFonts w:eastAsia="Segoe UI" w:cs="Segoe UI"/>
                <w:iCs w:val="0"/>
                <w:sz w:val="18"/>
                <w:szCs w:val="14"/>
              </w:rPr>
              <w:t>Therefore, it is important that these devices meet the same requirement as the self-testing devices. In addition, the risk management section, usability and Labelling (IFU) of NPT shall always be verified by a NB.</w:t>
            </w:r>
          </w:p>
          <w:p w14:paraId="1E4D9EA0" w14:textId="77777777" w:rsidR="00F26E61" w:rsidRPr="00F97146" w:rsidRDefault="00F26E61" w:rsidP="00407A8E">
            <w:pPr>
              <w:rPr>
                <w:iCs w:val="0"/>
                <w:sz w:val="18"/>
                <w:szCs w:val="14"/>
              </w:rPr>
            </w:pPr>
          </w:p>
          <w:p w14:paraId="22CB2A4E" w14:textId="77777777" w:rsidR="00F26E61" w:rsidRPr="00F97146" w:rsidRDefault="00F26E61" w:rsidP="00407A8E">
            <w:pPr>
              <w:rPr>
                <w:rFonts w:eastAsia="Segoe UI" w:cs="Segoe UI"/>
                <w:iCs w:val="0"/>
                <w:sz w:val="18"/>
                <w:szCs w:val="14"/>
              </w:rPr>
            </w:pPr>
            <w:r w:rsidRPr="00F97146">
              <w:rPr>
                <w:rFonts w:eastAsia="Segoe UI" w:cs="Segoe UI"/>
                <w:iCs w:val="0"/>
                <w:sz w:val="18"/>
                <w:szCs w:val="14"/>
              </w:rPr>
              <w:t>Especially since the use environment (storage conditions, temperature, humidity, emergency situations (stress), manual input is required sometimes, manual read-out, transcription errors) of the NPT test can have a big effect on the performance of the device.</w:t>
            </w:r>
          </w:p>
          <w:p w14:paraId="6722C56E" w14:textId="77777777" w:rsidR="00F26E61" w:rsidRPr="00F97146" w:rsidRDefault="00F26E61" w:rsidP="00407A8E">
            <w:pPr>
              <w:rPr>
                <w:rFonts w:eastAsia="Segoe UI" w:cs="Segoe UI"/>
                <w:iCs w:val="0"/>
                <w:sz w:val="18"/>
                <w:szCs w:val="14"/>
              </w:rPr>
            </w:pPr>
          </w:p>
          <w:p w14:paraId="3BFCF7A9" w14:textId="77777777" w:rsidR="00F26E61" w:rsidRPr="00F97146" w:rsidRDefault="00F26E61" w:rsidP="00407A8E">
            <w:pPr>
              <w:rPr>
                <w:rFonts w:eastAsia="Segoe UI" w:cs="Segoe UI"/>
                <w:b/>
                <w:bCs/>
                <w:iCs w:val="0"/>
                <w:sz w:val="18"/>
                <w:szCs w:val="14"/>
              </w:rPr>
            </w:pPr>
            <w:r w:rsidRPr="00F97146">
              <w:rPr>
                <w:rFonts w:eastAsia="Segoe UI" w:cs="Segoe UI"/>
                <w:iCs w:val="0"/>
                <w:sz w:val="18"/>
                <w:szCs w:val="14"/>
              </w:rPr>
              <w:t>As an example, a NB assessed a device that could not tolerate any vibration during use. However, the intended use environment also included an ambulance. The risk associated with operating the device in a moving ambulance was not addressed in the risk management file.</w:t>
            </w:r>
          </w:p>
        </w:tc>
        <w:tc>
          <w:tcPr>
            <w:tcW w:w="5528" w:type="dxa"/>
            <w:tcBorders>
              <w:top w:val="single" w:sz="4" w:space="0" w:color="auto"/>
              <w:left w:val="single" w:sz="4" w:space="0" w:color="auto"/>
              <w:bottom w:val="single" w:sz="4" w:space="0" w:color="auto"/>
              <w:right w:val="single" w:sz="4" w:space="0" w:color="auto"/>
            </w:tcBorders>
          </w:tcPr>
          <w:p w14:paraId="72B5DB0B" w14:textId="77777777" w:rsidR="00F26E61" w:rsidRPr="00F97146" w:rsidRDefault="00F26E61" w:rsidP="00407A8E">
            <w:pPr>
              <w:rPr>
                <w:rFonts w:eastAsia="Segoe UI" w:cs="Segoe UI"/>
                <w:iCs w:val="0"/>
                <w:sz w:val="18"/>
                <w:szCs w:val="14"/>
              </w:rPr>
            </w:pPr>
            <w:r w:rsidRPr="00F97146">
              <w:rPr>
                <w:rFonts w:eastAsia="Segoe UI" w:cs="Segoe UI"/>
                <w:iCs w:val="0"/>
                <w:sz w:val="18"/>
                <w:szCs w:val="14"/>
              </w:rPr>
              <w:t>The current sampling requirements for Class C and Class B devices must be reinstated. Placing near</w:t>
            </w:r>
            <w:r w:rsidRPr="00F97146">
              <w:rPr>
                <w:rFonts w:ascii="Cambria Math" w:eastAsia="Segoe UI" w:hAnsi="Cambria Math" w:cs="Cambria Math"/>
                <w:iCs w:val="0"/>
                <w:sz w:val="18"/>
                <w:szCs w:val="14"/>
              </w:rPr>
              <w:t>‑</w:t>
            </w:r>
            <w:r w:rsidRPr="00F97146">
              <w:rPr>
                <w:rFonts w:eastAsia="Segoe UI" w:cs="Segoe UI"/>
                <w:iCs w:val="0"/>
                <w:sz w:val="18"/>
                <w:szCs w:val="14"/>
              </w:rPr>
              <w:t>patient testing devices solely under a QMS certificate, combined with even lower sampling of technical documentation would substantially reduce the level of NB scrutiny. Retaining the existing sampling approach is therefore essential. A minimum and consistent level of NB oversight for near</w:t>
            </w:r>
            <w:r w:rsidRPr="00F97146">
              <w:rPr>
                <w:rFonts w:ascii="Cambria Math" w:eastAsia="Segoe UI" w:hAnsi="Cambria Math" w:cs="Cambria Math"/>
                <w:iCs w:val="0"/>
                <w:sz w:val="18"/>
                <w:szCs w:val="14"/>
              </w:rPr>
              <w:t>‑</w:t>
            </w:r>
            <w:r w:rsidRPr="00F97146">
              <w:rPr>
                <w:rFonts w:eastAsia="Segoe UI" w:cs="Segoe UI"/>
                <w:iCs w:val="0"/>
                <w:sz w:val="18"/>
                <w:szCs w:val="14"/>
              </w:rPr>
              <w:t>patient tests is critical to ensuring patient safety.</w:t>
            </w:r>
          </w:p>
          <w:p w14:paraId="45A12E3B" w14:textId="77777777" w:rsidR="00F26E61" w:rsidRPr="00F97146" w:rsidRDefault="00F26E61" w:rsidP="00407A8E">
            <w:pPr>
              <w:rPr>
                <w:rFonts w:eastAsia="Segoe UI" w:cs="Segoe UI"/>
                <w:iCs w:val="0"/>
                <w:sz w:val="18"/>
                <w:szCs w:val="14"/>
              </w:rPr>
            </w:pPr>
          </w:p>
          <w:p w14:paraId="53776360" w14:textId="77777777" w:rsidR="00F26E61" w:rsidRPr="00F97146" w:rsidRDefault="00F26E61" w:rsidP="00407A8E">
            <w:pPr>
              <w:rPr>
                <w:iCs w:val="0"/>
                <w:sz w:val="18"/>
                <w:szCs w:val="14"/>
              </w:rPr>
            </w:pPr>
            <w:r w:rsidRPr="00F97146">
              <w:rPr>
                <w:rFonts w:eastAsia="Segoe UI" w:cs="Segoe UI"/>
                <w:iCs w:val="0"/>
                <w:sz w:val="18"/>
                <w:szCs w:val="14"/>
              </w:rPr>
              <w:t>As an alternative, the verification of the technical documentation for all near</w:t>
            </w:r>
            <w:r w:rsidRPr="00F97146">
              <w:rPr>
                <w:rFonts w:ascii="Cambria Math" w:eastAsia="Segoe UI" w:hAnsi="Cambria Math" w:cs="Cambria Math"/>
                <w:iCs w:val="0"/>
                <w:sz w:val="18"/>
                <w:szCs w:val="14"/>
              </w:rPr>
              <w:t>‑</w:t>
            </w:r>
            <w:r w:rsidRPr="00F97146">
              <w:rPr>
                <w:rFonts w:eastAsia="Segoe UI" w:cs="Segoe UI"/>
                <w:iCs w:val="0"/>
                <w:sz w:val="18"/>
                <w:szCs w:val="14"/>
              </w:rPr>
              <w:t>patient testing devices could be maintained, with the review focused specifically on risk management, labelling and usability aspects.</w:t>
            </w:r>
          </w:p>
          <w:p w14:paraId="262C40D4" w14:textId="77777777" w:rsidR="00F26E61" w:rsidRPr="00F97146" w:rsidRDefault="00F26E61" w:rsidP="00407A8E">
            <w:pPr>
              <w:spacing w:before="60"/>
              <w:rPr>
                <w:rFonts w:eastAsia="Segoe UI" w:cs="Segoe UI"/>
                <w:iCs w:val="0"/>
                <w:sz w:val="18"/>
                <w:szCs w:val="14"/>
              </w:rPr>
            </w:pPr>
          </w:p>
        </w:tc>
      </w:tr>
      <w:tr w:rsidR="00F26E61" w:rsidRPr="00F97146" w14:paraId="7E871DD4" w14:textId="77777777" w:rsidTr="0022597C">
        <w:tc>
          <w:tcPr>
            <w:tcW w:w="568" w:type="dxa"/>
          </w:tcPr>
          <w:p w14:paraId="7B62A56C" w14:textId="77777777" w:rsidR="00F26E61" w:rsidRPr="00F97146" w:rsidRDefault="00F26E61" w:rsidP="00407A8E">
            <w:pPr>
              <w:spacing w:line="276" w:lineRule="auto"/>
              <w:ind w:left="-48" w:firstLine="6"/>
              <w:jc w:val="center"/>
              <w:rPr>
                <w:rFonts w:eastAsia="Segoe UI" w:cs="Segoe UI"/>
                <w:iCs w:val="0"/>
                <w:sz w:val="18"/>
                <w:szCs w:val="14"/>
              </w:rPr>
            </w:pPr>
            <w:r w:rsidRPr="00F97146">
              <w:rPr>
                <w:rFonts w:eastAsia="Segoe UI" w:cs="Segoe UI"/>
                <w:iCs w:val="0"/>
                <w:sz w:val="18"/>
                <w:szCs w:val="14"/>
              </w:rPr>
              <w:t>50</w:t>
            </w:r>
          </w:p>
        </w:tc>
        <w:tc>
          <w:tcPr>
            <w:tcW w:w="1134" w:type="dxa"/>
            <w:tcBorders>
              <w:top w:val="single" w:sz="4" w:space="0" w:color="auto"/>
              <w:left w:val="single" w:sz="4" w:space="0" w:color="auto"/>
              <w:bottom w:val="single" w:sz="4" w:space="0" w:color="auto"/>
              <w:right w:val="single" w:sz="4" w:space="0" w:color="auto"/>
            </w:tcBorders>
          </w:tcPr>
          <w:p w14:paraId="127109A9" w14:textId="77777777" w:rsidR="00F26E61" w:rsidRPr="00F97146" w:rsidDel="00197808" w:rsidRDefault="00F26E61" w:rsidP="00407A8E">
            <w:pPr>
              <w:spacing w:line="276" w:lineRule="auto"/>
              <w:ind w:left="-48" w:firstLine="6"/>
              <w:jc w:val="center"/>
              <w:rPr>
                <w:rFonts w:eastAsia="Segoe UI" w:cs="Segoe UI"/>
                <w:iCs w:val="0"/>
                <w:sz w:val="18"/>
                <w:szCs w:val="14"/>
              </w:rPr>
            </w:pPr>
            <w:r w:rsidRPr="00F97146">
              <w:rPr>
                <w:rFonts w:eastAsia="Segoe UI" w:cs="Segoe UI"/>
                <w:iCs w:val="0"/>
                <w:sz w:val="18"/>
                <w:szCs w:val="14"/>
              </w:rPr>
              <w:t>115</w:t>
            </w:r>
          </w:p>
        </w:tc>
        <w:tc>
          <w:tcPr>
            <w:tcW w:w="1114" w:type="dxa"/>
            <w:tcBorders>
              <w:top w:val="single" w:sz="4" w:space="0" w:color="auto"/>
              <w:left w:val="single" w:sz="4" w:space="0" w:color="auto"/>
              <w:bottom w:val="single" w:sz="4" w:space="0" w:color="auto"/>
              <w:right w:val="single" w:sz="4" w:space="0" w:color="auto"/>
            </w:tcBorders>
          </w:tcPr>
          <w:p w14:paraId="158C61C1" w14:textId="77777777" w:rsidR="00F26E61" w:rsidRPr="00F97146" w:rsidRDefault="00F26E61" w:rsidP="00407A8E">
            <w:pPr>
              <w:spacing w:line="276" w:lineRule="auto"/>
              <w:ind w:left="75"/>
              <w:jc w:val="center"/>
              <w:rPr>
                <w:rFonts w:eastAsia="Segoe UI" w:cs="Segoe UI"/>
                <w:iCs w:val="0"/>
                <w:sz w:val="18"/>
                <w:szCs w:val="14"/>
              </w:rPr>
            </w:pPr>
            <w:r w:rsidRPr="00F97146">
              <w:rPr>
                <w:iCs w:val="0"/>
                <w:sz w:val="18"/>
                <w:szCs w:val="14"/>
                <w:lang w:val="fr-FR"/>
              </w:rPr>
              <w:t>2</w:t>
            </w:r>
          </w:p>
        </w:tc>
        <w:tc>
          <w:tcPr>
            <w:tcW w:w="1134" w:type="dxa"/>
            <w:tcBorders>
              <w:top w:val="single" w:sz="4" w:space="0" w:color="auto"/>
              <w:left w:val="single" w:sz="4" w:space="0" w:color="auto"/>
              <w:bottom w:val="single" w:sz="4" w:space="0" w:color="auto"/>
              <w:right w:val="single" w:sz="4" w:space="0" w:color="auto"/>
            </w:tcBorders>
          </w:tcPr>
          <w:p w14:paraId="458ED5EC" w14:textId="77777777" w:rsidR="00F26E61" w:rsidRPr="00F97146" w:rsidRDefault="00F26E61" w:rsidP="00407A8E">
            <w:pPr>
              <w:spacing w:line="276" w:lineRule="auto"/>
              <w:jc w:val="center"/>
              <w:rPr>
                <w:rFonts w:eastAsia="Segoe UI" w:cs="Segoe UI"/>
                <w:iCs w:val="0"/>
                <w:sz w:val="18"/>
                <w:szCs w:val="14"/>
              </w:rPr>
            </w:pPr>
            <w:r w:rsidRPr="00F97146">
              <w:rPr>
                <w:rFonts w:eastAsia="Segoe UI" w:cs="Segoe UI"/>
                <w:iCs w:val="0"/>
                <w:sz w:val="18"/>
                <w:szCs w:val="14"/>
              </w:rPr>
              <w:t>40</w:t>
            </w:r>
          </w:p>
        </w:tc>
        <w:tc>
          <w:tcPr>
            <w:tcW w:w="1134" w:type="dxa"/>
            <w:tcBorders>
              <w:top w:val="single" w:sz="4" w:space="0" w:color="auto"/>
              <w:left w:val="single" w:sz="4" w:space="0" w:color="auto"/>
              <w:bottom w:val="single" w:sz="4" w:space="0" w:color="auto"/>
              <w:right w:val="single" w:sz="4" w:space="0" w:color="auto"/>
            </w:tcBorders>
          </w:tcPr>
          <w:p w14:paraId="13B18A0A" w14:textId="77777777" w:rsidR="00F26E61" w:rsidRPr="00F97146" w:rsidRDefault="00F26E61" w:rsidP="00407A8E">
            <w:pPr>
              <w:jc w:val="center"/>
              <w:rPr>
                <w:rFonts w:eastAsia="Segoe UI" w:cs="Segoe UI"/>
                <w:iCs w:val="0"/>
                <w:sz w:val="18"/>
                <w:szCs w:val="14"/>
              </w:rPr>
            </w:pPr>
            <w:r w:rsidRPr="00F97146">
              <w:rPr>
                <w:rFonts w:eastAsia="Segoe UI" w:cs="Segoe UI"/>
                <w:iCs w:val="0"/>
                <w:sz w:val="18"/>
                <w:szCs w:val="14"/>
              </w:rPr>
              <w:t>b</w:t>
            </w:r>
          </w:p>
        </w:tc>
        <w:tc>
          <w:tcPr>
            <w:tcW w:w="4840" w:type="dxa"/>
            <w:tcBorders>
              <w:top w:val="single" w:sz="4" w:space="0" w:color="auto"/>
              <w:left w:val="single" w:sz="4" w:space="0" w:color="auto"/>
              <w:bottom w:val="single" w:sz="4" w:space="0" w:color="auto"/>
              <w:right w:val="single" w:sz="4" w:space="0" w:color="auto"/>
            </w:tcBorders>
          </w:tcPr>
          <w:p w14:paraId="1D096A2A" w14:textId="77777777" w:rsidR="00F26E61" w:rsidRPr="00F97146" w:rsidRDefault="00F26E61" w:rsidP="00407A8E">
            <w:pPr>
              <w:rPr>
                <w:iCs w:val="0"/>
                <w:sz w:val="18"/>
                <w:szCs w:val="14"/>
              </w:rPr>
            </w:pPr>
            <w:r w:rsidRPr="00F97146">
              <w:rPr>
                <w:rFonts w:eastAsia="Segoe UI" w:cs="Segoe UI"/>
                <w:iCs w:val="0"/>
                <w:sz w:val="18"/>
                <w:szCs w:val="14"/>
              </w:rPr>
              <w:t>Commission proposal:</w:t>
            </w:r>
          </w:p>
          <w:p w14:paraId="0D3AA082" w14:textId="77777777" w:rsidR="00F26E61" w:rsidRPr="00F97146" w:rsidRDefault="00F26E61" w:rsidP="00407A8E">
            <w:pPr>
              <w:rPr>
                <w:iCs w:val="0"/>
                <w:sz w:val="18"/>
                <w:szCs w:val="14"/>
              </w:rPr>
            </w:pPr>
            <w:r w:rsidRPr="00F97146">
              <w:rPr>
                <w:rFonts w:eastAsia="Segoe UI" w:cs="Segoe UI"/>
                <w:iCs w:val="0"/>
                <w:sz w:val="18"/>
                <w:szCs w:val="14"/>
              </w:rPr>
              <w:lastRenderedPageBreak/>
              <w:t>“</w:t>
            </w:r>
            <w:r w:rsidRPr="00F97146">
              <w:rPr>
                <w:rFonts w:eastAsia="Segoe UI" w:cs="Segoe UI"/>
                <w:i/>
                <w:sz w:val="18"/>
                <w:szCs w:val="14"/>
              </w:rPr>
              <w:t>Where the conduct of the study involves additional invasive procedures, including high-risk procedures for collection of specimens, or other risks for the subjects of the studies”</w:t>
            </w:r>
          </w:p>
          <w:p w14:paraId="1D2C4723" w14:textId="77777777" w:rsidR="00F26E61" w:rsidRPr="00F97146" w:rsidRDefault="00F26E61" w:rsidP="00407A8E">
            <w:pPr>
              <w:spacing w:before="60"/>
              <w:rPr>
                <w:iCs w:val="0"/>
                <w:sz w:val="18"/>
                <w:szCs w:val="14"/>
              </w:rPr>
            </w:pPr>
          </w:p>
          <w:p w14:paraId="46B1CE20" w14:textId="77777777" w:rsidR="00F26E61" w:rsidRPr="00F97146" w:rsidRDefault="00F26E61" w:rsidP="00407A8E">
            <w:pPr>
              <w:rPr>
                <w:rFonts w:eastAsia="Segoe UI" w:cs="Segoe UI"/>
                <w:iCs w:val="0"/>
                <w:sz w:val="18"/>
                <w:szCs w:val="14"/>
              </w:rPr>
            </w:pPr>
            <w:r w:rsidRPr="00F97146">
              <w:rPr>
                <w:rFonts w:eastAsia="Segoe UI" w:cs="Segoe UI"/>
                <w:iCs w:val="0"/>
                <w:sz w:val="18"/>
                <w:szCs w:val="14"/>
              </w:rPr>
              <w:t>A definition of what procedures should be considered high risk in this context should be provided. Manufacturers should clearly define in their clinical performance study plans what procedures are high risk and what aren’t. Furthermore, the requirements for informed consent for the use of leftover or archived specimens should also be considered.</w:t>
            </w:r>
          </w:p>
          <w:p w14:paraId="2E3D753F" w14:textId="77777777" w:rsidR="00F26E61" w:rsidRPr="00F97146" w:rsidRDefault="00F26E61" w:rsidP="00407A8E">
            <w:pPr>
              <w:rPr>
                <w:iCs w:val="0"/>
                <w:sz w:val="18"/>
                <w:szCs w:val="14"/>
              </w:rPr>
            </w:pPr>
          </w:p>
          <w:p w14:paraId="06C7C0A4" w14:textId="77777777" w:rsidR="00F26E61" w:rsidRPr="00F97146" w:rsidRDefault="00F26E61" w:rsidP="00407A8E">
            <w:pPr>
              <w:rPr>
                <w:rFonts w:eastAsia="Segoe UI" w:cs="Segoe UI"/>
                <w:iCs w:val="0"/>
                <w:sz w:val="18"/>
                <w:szCs w:val="14"/>
              </w:rPr>
            </w:pPr>
            <w:r w:rsidRPr="00F97146">
              <w:rPr>
                <w:rFonts w:eastAsia="Segoe UI" w:cs="Segoe UI"/>
                <w:iCs w:val="0"/>
                <w:sz w:val="18"/>
                <w:szCs w:val="14"/>
              </w:rPr>
              <w:t>Requirements for informed consent related to the use of leftover or archived specimens are determined by local legislation, ethics committee expectations, and the risk assessment for participating patients.</w:t>
            </w:r>
          </w:p>
          <w:p w14:paraId="38360362" w14:textId="77777777" w:rsidR="00F26E61" w:rsidRPr="00F97146" w:rsidRDefault="00F26E61" w:rsidP="00407A8E">
            <w:pPr>
              <w:rPr>
                <w:iCs w:val="0"/>
                <w:sz w:val="18"/>
                <w:szCs w:val="14"/>
              </w:rPr>
            </w:pPr>
          </w:p>
          <w:p w14:paraId="0B2C9C19" w14:textId="77777777" w:rsidR="00F26E61" w:rsidRPr="00F97146" w:rsidRDefault="00F26E61" w:rsidP="00407A8E">
            <w:pPr>
              <w:spacing w:before="60"/>
              <w:rPr>
                <w:iCs w:val="0"/>
                <w:sz w:val="18"/>
                <w:szCs w:val="14"/>
              </w:rPr>
            </w:pPr>
            <w:r w:rsidRPr="00F97146">
              <w:rPr>
                <w:rFonts w:eastAsia="Segoe UI" w:cs="Segoe UI"/>
                <w:iCs w:val="0"/>
                <w:sz w:val="18"/>
                <w:szCs w:val="14"/>
              </w:rPr>
              <w:t>For investigations involving genetic information, national regulations often impose more stringent or specific protective measures, including detailed provisions on informed consent.</w:t>
            </w:r>
          </w:p>
          <w:p w14:paraId="496D2839" w14:textId="77777777" w:rsidR="00F26E61" w:rsidRPr="00F97146" w:rsidRDefault="00F26E61" w:rsidP="00407A8E">
            <w:pPr>
              <w:spacing w:before="60"/>
              <w:rPr>
                <w:rFonts w:eastAsia="Segoe UI" w:cs="Segoe UI"/>
                <w:b/>
                <w:bCs/>
                <w:iCs w:val="0"/>
                <w:sz w:val="18"/>
                <w:szCs w:val="14"/>
              </w:rPr>
            </w:pPr>
          </w:p>
        </w:tc>
        <w:tc>
          <w:tcPr>
            <w:tcW w:w="5528" w:type="dxa"/>
            <w:tcBorders>
              <w:top w:val="single" w:sz="4" w:space="0" w:color="auto"/>
              <w:left w:val="single" w:sz="4" w:space="0" w:color="auto"/>
              <w:bottom w:val="single" w:sz="4" w:space="0" w:color="auto"/>
              <w:right w:val="single" w:sz="4" w:space="0" w:color="auto"/>
            </w:tcBorders>
          </w:tcPr>
          <w:p w14:paraId="7BACF4EF" w14:textId="77777777" w:rsidR="00F26E61" w:rsidRPr="00F97146" w:rsidRDefault="00F26E61" w:rsidP="00407A8E">
            <w:pPr>
              <w:spacing w:before="60"/>
              <w:rPr>
                <w:iCs w:val="0"/>
                <w:sz w:val="18"/>
                <w:szCs w:val="14"/>
              </w:rPr>
            </w:pPr>
            <w:r w:rsidRPr="00F97146">
              <w:rPr>
                <w:rFonts w:eastAsia="Segoe UI" w:cs="Segoe UI"/>
                <w:iCs w:val="0"/>
                <w:sz w:val="18"/>
                <w:szCs w:val="14"/>
              </w:rPr>
              <w:lastRenderedPageBreak/>
              <w:t>High-risk procedure could be explained as follows:</w:t>
            </w:r>
          </w:p>
          <w:p w14:paraId="353D7A0C" w14:textId="77777777" w:rsidR="00F26E61" w:rsidRPr="00F97146" w:rsidRDefault="00F26E61" w:rsidP="00407A8E">
            <w:pPr>
              <w:spacing w:before="60"/>
              <w:rPr>
                <w:iCs w:val="0"/>
                <w:sz w:val="18"/>
                <w:szCs w:val="14"/>
              </w:rPr>
            </w:pPr>
          </w:p>
          <w:p w14:paraId="127FF6B4" w14:textId="77777777" w:rsidR="00F26E61" w:rsidRPr="00F97146" w:rsidRDefault="00F26E61" w:rsidP="00407A8E">
            <w:pPr>
              <w:spacing w:before="60"/>
              <w:rPr>
                <w:iCs w:val="0"/>
                <w:sz w:val="18"/>
                <w:szCs w:val="14"/>
              </w:rPr>
            </w:pPr>
            <w:r w:rsidRPr="00F97146">
              <w:rPr>
                <w:rFonts w:eastAsia="Segoe UI" w:cs="Segoe UI"/>
                <w:iCs w:val="0"/>
                <w:sz w:val="18"/>
                <w:szCs w:val="14"/>
              </w:rPr>
              <w:lastRenderedPageBreak/>
              <w:t>The classification of a procedure as high risk depends on the specific design of the clinical investigation. Key factors include:</w:t>
            </w:r>
          </w:p>
          <w:p w14:paraId="522810C9" w14:textId="77777777" w:rsidR="00F26E61" w:rsidRPr="00F97146" w:rsidRDefault="00F26E61" w:rsidP="00F26E61">
            <w:pPr>
              <w:pStyle w:val="Paragraphedeliste"/>
              <w:numPr>
                <w:ilvl w:val="0"/>
                <w:numId w:val="62"/>
              </w:numPr>
              <w:spacing w:after="0"/>
              <w:rPr>
                <w:rFonts w:eastAsia="Segoe UI" w:cs="Segoe UI"/>
                <w:iCs w:val="0"/>
                <w:sz w:val="18"/>
                <w:szCs w:val="14"/>
              </w:rPr>
            </w:pPr>
            <w:r w:rsidRPr="00F97146">
              <w:rPr>
                <w:rFonts w:eastAsia="Segoe UI" w:cs="Segoe UI"/>
                <w:b/>
                <w:bCs/>
                <w:iCs w:val="0"/>
                <w:sz w:val="18"/>
                <w:szCs w:val="14"/>
              </w:rPr>
              <w:t>Population characteristics:</w:t>
            </w:r>
            <w:r w:rsidRPr="00F97146">
              <w:rPr>
                <w:rFonts w:eastAsia="Segoe UI" w:cs="Segoe UI"/>
                <w:iCs w:val="0"/>
                <w:sz w:val="18"/>
                <w:szCs w:val="14"/>
              </w:rPr>
              <w:t xml:space="preserve"> for example, newborns, pregnant women, children, elderly individuals.</w:t>
            </w:r>
          </w:p>
          <w:p w14:paraId="6618CE1A" w14:textId="77777777" w:rsidR="00F26E61" w:rsidRPr="00F97146" w:rsidRDefault="00F26E61" w:rsidP="00F26E61">
            <w:pPr>
              <w:pStyle w:val="Paragraphedeliste"/>
              <w:numPr>
                <w:ilvl w:val="0"/>
                <w:numId w:val="62"/>
              </w:numPr>
              <w:spacing w:after="0"/>
              <w:rPr>
                <w:rFonts w:eastAsia="Segoe UI" w:cs="Segoe UI"/>
                <w:iCs w:val="0"/>
                <w:sz w:val="18"/>
                <w:szCs w:val="14"/>
              </w:rPr>
            </w:pPr>
            <w:r w:rsidRPr="00F97146">
              <w:rPr>
                <w:rFonts w:eastAsia="Segoe UI" w:cs="Segoe UI"/>
                <w:b/>
                <w:bCs/>
                <w:iCs w:val="0"/>
                <w:sz w:val="18"/>
                <w:szCs w:val="14"/>
              </w:rPr>
              <w:t>Clinical condition of enrolled subjects:</w:t>
            </w:r>
            <w:r w:rsidRPr="00F97146">
              <w:rPr>
                <w:rFonts w:eastAsia="Segoe UI" w:cs="Segoe UI"/>
                <w:iCs w:val="0"/>
                <w:sz w:val="18"/>
                <w:szCs w:val="14"/>
              </w:rPr>
              <w:t xml:space="preserve"> such as immunocompromised patients, individuals with specific cancer grades or types, or those with cardiovascular or respiratory diseases.</w:t>
            </w:r>
          </w:p>
          <w:p w14:paraId="60A7A88A" w14:textId="77777777" w:rsidR="00F26E61" w:rsidRPr="00F97146" w:rsidRDefault="00F26E61" w:rsidP="00F26E61">
            <w:pPr>
              <w:pStyle w:val="Paragraphedeliste"/>
              <w:numPr>
                <w:ilvl w:val="0"/>
                <w:numId w:val="62"/>
              </w:numPr>
              <w:spacing w:after="0"/>
              <w:rPr>
                <w:rFonts w:eastAsia="Segoe UI" w:cs="Segoe UI"/>
                <w:iCs w:val="0"/>
                <w:sz w:val="18"/>
                <w:szCs w:val="14"/>
              </w:rPr>
            </w:pPr>
            <w:r w:rsidRPr="00F97146">
              <w:rPr>
                <w:rFonts w:eastAsia="Segoe UI" w:cs="Segoe UI"/>
                <w:b/>
                <w:bCs/>
                <w:iCs w:val="0"/>
                <w:sz w:val="18"/>
                <w:szCs w:val="14"/>
              </w:rPr>
              <w:t>Impact of erroneous results:</w:t>
            </w:r>
            <w:r w:rsidRPr="00F97146">
              <w:rPr>
                <w:rFonts w:eastAsia="Segoe UI" w:cs="Segoe UI"/>
                <w:iCs w:val="0"/>
                <w:sz w:val="18"/>
                <w:szCs w:val="14"/>
              </w:rPr>
              <w:t xml:space="preserve"> situations where false</w:t>
            </w:r>
            <w:r w:rsidRPr="00F97146">
              <w:rPr>
                <w:rFonts w:ascii="Cambria Math" w:eastAsia="Segoe UI" w:hAnsi="Cambria Math" w:cs="Cambria Math"/>
                <w:iCs w:val="0"/>
                <w:sz w:val="18"/>
                <w:szCs w:val="14"/>
              </w:rPr>
              <w:t>‑</w:t>
            </w:r>
            <w:r w:rsidRPr="00F97146">
              <w:rPr>
                <w:rFonts w:eastAsia="Segoe UI" w:cs="Segoe UI"/>
                <w:iCs w:val="0"/>
                <w:sz w:val="18"/>
                <w:szCs w:val="14"/>
              </w:rPr>
              <w:t>negative or false</w:t>
            </w:r>
            <w:r w:rsidRPr="00F97146">
              <w:rPr>
                <w:rFonts w:ascii="Cambria Math" w:eastAsia="Segoe UI" w:hAnsi="Cambria Math" w:cs="Cambria Math"/>
                <w:iCs w:val="0"/>
                <w:sz w:val="18"/>
                <w:szCs w:val="14"/>
              </w:rPr>
              <w:t>‑</w:t>
            </w:r>
            <w:r w:rsidRPr="00F97146">
              <w:rPr>
                <w:rFonts w:eastAsia="Segoe UI" w:cs="Segoe UI"/>
                <w:iCs w:val="0"/>
                <w:sz w:val="18"/>
                <w:szCs w:val="14"/>
              </w:rPr>
              <w:t>positive outcomes could significantly influence patient management (e.g., companion diagnostics).</w:t>
            </w:r>
          </w:p>
          <w:p w14:paraId="1AF9A1F5" w14:textId="77777777" w:rsidR="00F26E61" w:rsidRPr="00F97146" w:rsidRDefault="00F26E61" w:rsidP="00F26E61">
            <w:pPr>
              <w:pStyle w:val="Paragraphedeliste"/>
              <w:numPr>
                <w:ilvl w:val="0"/>
                <w:numId w:val="62"/>
              </w:numPr>
              <w:spacing w:after="0"/>
              <w:rPr>
                <w:rFonts w:eastAsia="Segoe UI" w:cs="Segoe UI"/>
                <w:iCs w:val="0"/>
                <w:sz w:val="18"/>
                <w:szCs w:val="14"/>
              </w:rPr>
            </w:pPr>
            <w:r w:rsidRPr="00F97146">
              <w:rPr>
                <w:rFonts w:eastAsia="Segoe UI" w:cs="Segoe UI"/>
                <w:b/>
                <w:bCs/>
                <w:iCs w:val="0"/>
                <w:sz w:val="18"/>
                <w:szCs w:val="14"/>
              </w:rPr>
              <w:t>Nature of specimen collection:</w:t>
            </w:r>
            <w:r w:rsidRPr="00F97146">
              <w:rPr>
                <w:rFonts w:eastAsia="Segoe UI" w:cs="Segoe UI"/>
                <w:iCs w:val="0"/>
                <w:sz w:val="18"/>
                <w:szCs w:val="14"/>
              </w:rPr>
              <w:t xml:space="preserve"> including the </w:t>
            </w:r>
            <w:r w:rsidRPr="00F97146">
              <w:rPr>
                <w:rFonts w:eastAsia="Segoe UI" w:cs="Segoe UI"/>
                <w:b/>
                <w:bCs/>
                <w:iCs w:val="0"/>
                <w:sz w:val="18"/>
                <w:szCs w:val="14"/>
              </w:rPr>
              <w:t>volume</w:t>
            </w:r>
            <w:r w:rsidRPr="00F97146">
              <w:rPr>
                <w:rFonts w:eastAsia="Segoe UI" w:cs="Segoe UI"/>
                <w:iCs w:val="0"/>
                <w:sz w:val="18"/>
                <w:szCs w:val="14"/>
              </w:rPr>
              <w:t xml:space="preserve"> (e.g., cerebrospinal fluid) and </w:t>
            </w:r>
            <w:r w:rsidRPr="00F97146">
              <w:rPr>
                <w:rFonts w:eastAsia="Segoe UI" w:cs="Segoe UI"/>
                <w:b/>
                <w:bCs/>
                <w:iCs w:val="0"/>
                <w:sz w:val="18"/>
                <w:szCs w:val="14"/>
              </w:rPr>
              <w:t>type</w:t>
            </w:r>
            <w:r w:rsidRPr="00F97146">
              <w:rPr>
                <w:rFonts w:eastAsia="Segoe UI" w:cs="Segoe UI"/>
                <w:iCs w:val="0"/>
                <w:sz w:val="18"/>
                <w:szCs w:val="14"/>
              </w:rPr>
              <w:t xml:space="preserve"> of procedure (e.g., invasive procedures such as gastroscopy or surgery).</w:t>
            </w:r>
          </w:p>
          <w:p w14:paraId="75C6F616" w14:textId="77777777" w:rsidR="00F26E61" w:rsidRPr="00F97146" w:rsidRDefault="00F26E61" w:rsidP="00407A8E">
            <w:pPr>
              <w:spacing w:before="60"/>
              <w:rPr>
                <w:iCs w:val="0"/>
                <w:sz w:val="18"/>
                <w:szCs w:val="14"/>
              </w:rPr>
            </w:pPr>
            <w:r w:rsidRPr="00F97146">
              <w:rPr>
                <w:rFonts w:eastAsia="Segoe UI" w:cs="Segoe UI"/>
                <w:iCs w:val="0"/>
                <w:sz w:val="18"/>
                <w:szCs w:val="14"/>
              </w:rPr>
              <w:t>The manufacturer must provide a clear justification of the clinical investigation risk, taking all relevant elements into account.</w:t>
            </w:r>
          </w:p>
          <w:p w14:paraId="6CDBB222" w14:textId="77777777" w:rsidR="00F26E61" w:rsidRPr="00F97146" w:rsidRDefault="00F26E61" w:rsidP="00407A8E">
            <w:pPr>
              <w:spacing w:before="60"/>
              <w:rPr>
                <w:iCs w:val="0"/>
                <w:sz w:val="18"/>
                <w:szCs w:val="14"/>
              </w:rPr>
            </w:pPr>
            <w:r w:rsidRPr="00F97146">
              <w:rPr>
                <w:rFonts w:eastAsia="Segoe UI" w:cs="Segoe UI"/>
                <w:iCs w:val="0"/>
                <w:sz w:val="18"/>
                <w:szCs w:val="14"/>
              </w:rPr>
              <w:t>In addition, the manufacturer should explicitly state:</w:t>
            </w:r>
          </w:p>
          <w:p w14:paraId="434DC434" w14:textId="77777777" w:rsidR="00F26E61" w:rsidRPr="00F97146" w:rsidRDefault="00F26E61" w:rsidP="00F26E61">
            <w:pPr>
              <w:pStyle w:val="Paragraphedeliste"/>
              <w:numPr>
                <w:ilvl w:val="0"/>
                <w:numId w:val="61"/>
              </w:numPr>
              <w:spacing w:after="0"/>
              <w:rPr>
                <w:rFonts w:eastAsia="Segoe UI" w:cs="Segoe UI"/>
                <w:iCs w:val="0"/>
                <w:sz w:val="18"/>
                <w:szCs w:val="14"/>
              </w:rPr>
            </w:pPr>
            <w:r w:rsidRPr="00F97146">
              <w:rPr>
                <w:rFonts w:eastAsia="Segoe UI" w:cs="Segoe UI"/>
                <w:iCs w:val="0"/>
                <w:sz w:val="18"/>
                <w:szCs w:val="14"/>
              </w:rPr>
              <w:t>whether approval from an ethics committee has been obtained, and</w:t>
            </w:r>
          </w:p>
          <w:p w14:paraId="196CD07D" w14:textId="77777777" w:rsidR="00F26E61" w:rsidRPr="00F97146" w:rsidRDefault="00F26E61" w:rsidP="00F26E61">
            <w:pPr>
              <w:pStyle w:val="Paragraphedeliste"/>
              <w:numPr>
                <w:ilvl w:val="0"/>
                <w:numId w:val="61"/>
              </w:numPr>
              <w:spacing w:after="0"/>
              <w:rPr>
                <w:rFonts w:eastAsia="Segoe UI" w:cs="Segoe UI"/>
                <w:iCs w:val="0"/>
                <w:sz w:val="18"/>
                <w:szCs w:val="14"/>
              </w:rPr>
            </w:pPr>
            <w:r w:rsidRPr="00F97146">
              <w:rPr>
                <w:rFonts w:eastAsia="Segoe UI" w:cs="Segoe UI"/>
                <w:iCs w:val="0"/>
                <w:sz w:val="18"/>
                <w:szCs w:val="14"/>
              </w:rPr>
              <w:t>whether signed informed consent forms are available for the specimens used.</w:t>
            </w:r>
          </w:p>
        </w:tc>
      </w:tr>
      <w:tr w:rsidR="00F26E61" w:rsidRPr="00F97146" w14:paraId="2E48F907" w14:textId="77777777" w:rsidTr="0022597C">
        <w:tc>
          <w:tcPr>
            <w:tcW w:w="568" w:type="dxa"/>
          </w:tcPr>
          <w:p w14:paraId="209046BA" w14:textId="77777777" w:rsidR="00F26E61" w:rsidRPr="00F97146" w:rsidRDefault="00F26E61" w:rsidP="00407A8E">
            <w:pPr>
              <w:spacing w:line="276" w:lineRule="auto"/>
              <w:ind w:left="-48" w:firstLine="6"/>
              <w:jc w:val="center"/>
              <w:rPr>
                <w:rFonts w:eastAsia="Segoe UI" w:cs="Segoe UI"/>
                <w:iCs w:val="0"/>
                <w:sz w:val="18"/>
                <w:szCs w:val="14"/>
              </w:rPr>
            </w:pPr>
            <w:r w:rsidRPr="00F97146">
              <w:rPr>
                <w:rFonts w:eastAsia="Segoe UI" w:cs="Segoe UI"/>
                <w:iCs w:val="0"/>
                <w:sz w:val="18"/>
                <w:szCs w:val="14"/>
              </w:rPr>
              <w:lastRenderedPageBreak/>
              <w:t>51</w:t>
            </w:r>
          </w:p>
        </w:tc>
        <w:tc>
          <w:tcPr>
            <w:tcW w:w="1134" w:type="dxa"/>
            <w:tcBorders>
              <w:top w:val="single" w:sz="4" w:space="0" w:color="auto"/>
              <w:left w:val="single" w:sz="4" w:space="0" w:color="auto"/>
              <w:bottom w:val="single" w:sz="4" w:space="0" w:color="auto"/>
              <w:right w:val="single" w:sz="4" w:space="0" w:color="auto"/>
            </w:tcBorders>
          </w:tcPr>
          <w:p w14:paraId="59F61906" w14:textId="77777777" w:rsidR="00F26E61" w:rsidRPr="00F97146" w:rsidDel="00197808" w:rsidRDefault="00F26E61" w:rsidP="00407A8E">
            <w:pPr>
              <w:spacing w:line="276" w:lineRule="auto"/>
              <w:ind w:left="-48" w:firstLine="6"/>
              <w:jc w:val="center"/>
              <w:rPr>
                <w:rFonts w:eastAsia="Segoe UI" w:cs="Segoe UI"/>
                <w:iCs w:val="0"/>
                <w:sz w:val="18"/>
                <w:szCs w:val="14"/>
              </w:rPr>
            </w:pPr>
            <w:r w:rsidRPr="00F97146">
              <w:rPr>
                <w:rFonts w:eastAsia="Segoe UI" w:cs="Segoe UI"/>
                <w:iCs w:val="0"/>
                <w:sz w:val="18"/>
                <w:szCs w:val="14"/>
              </w:rPr>
              <w:t>118</w:t>
            </w:r>
          </w:p>
        </w:tc>
        <w:tc>
          <w:tcPr>
            <w:tcW w:w="1114" w:type="dxa"/>
            <w:tcBorders>
              <w:top w:val="single" w:sz="4" w:space="0" w:color="auto"/>
              <w:left w:val="single" w:sz="4" w:space="0" w:color="auto"/>
              <w:bottom w:val="single" w:sz="4" w:space="0" w:color="auto"/>
              <w:right w:val="single" w:sz="4" w:space="0" w:color="auto"/>
            </w:tcBorders>
          </w:tcPr>
          <w:p w14:paraId="512AD1A5" w14:textId="77777777" w:rsidR="00F26E61" w:rsidRPr="00F97146" w:rsidRDefault="00F26E61" w:rsidP="00407A8E">
            <w:pPr>
              <w:spacing w:line="276" w:lineRule="auto"/>
              <w:ind w:left="75"/>
              <w:jc w:val="center"/>
              <w:rPr>
                <w:rFonts w:eastAsia="Segoe UI" w:cs="Segoe UI"/>
                <w:iCs w:val="0"/>
                <w:sz w:val="18"/>
                <w:szCs w:val="14"/>
              </w:rPr>
            </w:pPr>
            <w:r w:rsidRPr="00F97146">
              <w:rPr>
                <w:rFonts w:eastAsia="Segoe UI" w:cs="Segoe UI"/>
                <w:iCs w:val="0"/>
                <w:sz w:val="18"/>
                <w:szCs w:val="14"/>
              </w:rPr>
              <w:t>2</w:t>
            </w:r>
          </w:p>
        </w:tc>
        <w:tc>
          <w:tcPr>
            <w:tcW w:w="1134" w:type="dxa"/>
            <w:tcBorders>
              <w:top w:val="single" w:sz="4" w:space="0" w:color="auto"/>
              <w:left w:val="single" w:sz="4" w:space="0" w:color="auto"/>
              <w:bottom w:val="single" w:sz="4" w:space="0" w:color="auto"/>
              <w:right w:val="single" w:sz="4" w:space="0" w:color="auto"/>
            </w:tcBorders>
          </w:tcPr>
          <w:p w14:paraId="72B9984E" w14:textId="77777777" w:rsidR="00F26E61" w:rsidRPr="00F97146" w:rsidRDefault="00F26E61" w:rsidP="00407A8E">
            <w:pPr>
              <w:spacing w:line="276" w:lineRule="auto"/>
              <w:jc w:val="center"/>
              <w:rPr>
                <w:rFonts w:eastAsia="Segoe UI" w:cs="Segoe UI"/>
                <w:iCs w:val="0"/>
                <w:sz w:val="18"/>
                <w:szCs w:val="14"/>
              </w:rPr>
            </w:pPr>
            <w:r w:rsidRPr="00F97146">
              <w:rPr>
                <w:rFonts w:eastAsia="Segoe UI" w:cs="Segoe UI"/>
                <w:iCs w:val="0"/>
                <w:sz w:val="18"/>
                <w:szCs w:val="14"/>
              </w:rPr>
              <w:t>53</w:t>
            </w:r>
          </w:p>
        </w:tc>
        <w:tc>
          <w:tcPr>
            <w:tcW w:w="1134" w:type="dxa"/>
            <w:tcBorders>
              <w:top w:val="single" w:sz="4" w:space="0" w:color="auto"/>
              <w:left w:val="single" w:sz="4" w:space="0" w:color="auto"/>
              <w:bottom w:val="single" w:sz="4" w:space="0" w:color="auto"/>
              <w:right w:val="single" w:sz="4" w:space="0" w:color="auto"/>
            </w:tcBorders>
          </w:tcPr>
          <w:p w14:paraId="5514E1B8" w14:textId="77777777" w:rsidR="00F26E61" w:rsidRPr="00F97146" w:rsidRDefault="00F26E61" w:rsidP="00407A8E">
            <w:pPr>
              <w:jc w:val="center"/>
              <w:rPr>
                <w:rFonts w:eastAsia="Segoe UI" w:cs="Segoe UI"/>
                <w:iCs w:val="0"/>
                <w:sz w:val="18"/>
                <w:szCs w:val="14"/>
              </w:rPr>
            </w:pPr>
            <w:r w:rsidRPr="00F97146">
              <w:rPr>
                <w:iCs w:val="0"/>
                <w:sz w:val="18"/>
                <w:szCs w:val="14"/>
                <w:lang w:val="en-US"/>
              </w:rPr>
              <w:t>a</w:t>
            </w:r>
          </w:p>
        </w:tc>
        <w:tc>
          <w:tcPr>
            <w:tcW w:w="4840" w:type="dxa"/>
            <w:tcBorders>
              <w:top w:val="single" w:sz="4" w:space="0" w:color="auto"/>
              <w:left w:val="single" w:sz="4" w:space="0" w:color="auto"/>
              <w:bottom w:val="single" w:sz="4" w:space="0" w:color="auto"/>
              <w:right w:val="single" w:sz="4" w:space="0" w:color="auto"/>
            </w:tcBorders>
          </w:tcPr>
          <w:p w14:paraId="1D243393" w14:textId="77777777" w:rsidR="00F26E61" w:rsidRPr="00F97146" w:rsidRDefault="00F26E61" w:rsidP="00407A8E">
            <w:pPr>
              <w:spacing w:before="60"/>
              <w:rPr>
                <w:iCs w:val="0"/>
                <w:sz w:val="18"/>
                <w:szCs w:val="14"/>
              </w:rPr>
            </w:pPr>
            <w:r w:rsidRPr="00F97146">
              <w:rPr>
                <w:rFonts w:eastAsia="Segoe UI" w:cs="Segoe UI"/>
                <w:iCs w:val="0"/>
                <w:sz w:val="18"/>
                <w:szCs w:val="14"/>
              </w:rPr>
              <w:t>Commission proposal:</w:t>
            </w:r>
          </w:p>
          <w:p w14:paraId="10DB5F2E" w14:textId="77777777" w:rsidR="00F26E61" w:rsidRPr="00F97146" w:rsidRDefault="00F26E61" w:rsidP="00407A8E">
            <w:pPr>
              <w:rPr>
                <w:iCs w:val="0"/>
                <w:sz w:val="18"/>
                <w:szCs w:val="14"/>
              </w:rPr>
            </w:pPr>
            <w:r w:rsidRPr="00F97146">
              <w:rPr>
                <w:rFonts w:eastAsia="Segoe UI" w:cs="Segoe UI"/>
                <w:iCs w:val="0"/>
                <w:sz w:val="18"/>
                <w:szCs w:val="14"/>
              </w:rPr>
              <w:t>“</w:t>
            </w:r>
            <w:r w:rsidRPr="00F97146">
              <w:rPr>
                <w:rFonts w:eastAsia="Segoe UI" w:cs="Segoe UI"/>
                <w:i/>
                <w:sz w:val="18"/>
                <w:szCs w:val="14"/>
              </w:rPr>
              <w:t xml:space="preserve">Manufacturers of class C and class D devices shall update the PSUR in the first year after the certificate is issued and every two years thereafter or when there is a significant change in the benefit-risk determination or in the </w:t>
            </w:r>
            <w:r w:rsidRPr="00F97146">
              <w:rPr>
                <w:rFonts w:eastAsia="Segoe UI" w:cs="Segoe UI"/>
                <w:i/>
                <w:sz w:val="18"/>
                <w:szCs w:val="14"/>
              </w:rPr>
              <w:lastRenderedPageBreak/>
              <w:t>acceptability of erroneous results. That PSUR shall be part of the technical documentation specified in Annex III.”</w:t>
            </w:r>
          </w:p>
          <w:p w14:paraId="4ADF13D8" w14:textId="77777777" w:rsidR="00F26E61" w:rsidRPr="00F97146" w:rsidRDefault="00F26E61" w:rsidP="00407A8E">
            <w:pPr>
              <w:rPr>
                <w:iCs w:val="0"/>
                <w:sz w:val="18"/>
                <w:szCs w:val="14"/>
              </w:rPr>
            </w:pPr>
          </w:p>
          <w:p w14:paraId="6B091EC8" w14:textId="77777777" w:rsidR="00F26E61" w:rsidRPr="00F97146" w:rsidRDefault="00F26E61" w:rsidP="00407A8E">
            <w:pPr>
              <w:rPr>
                <w:iCs w:val="0"/>
                <w:sz w:val="18"/>
                <w:szCs w:val="14"/>
              </w:rPr>
            </w:pPr>
            <w:r w:rsidRPr="00F97146">
              <w:rPr>
                <w:rFonts w:eastAsia="Segoe UI" w:cs="Segoe UI"/>
                <w:iCs w:val="0"/>
                <w:sz w:val="18"/>
                <w:szCs w:val="14"/>
              </w:rPr>
              <w:t>Annual PSURs enable early detection of trends in adverse events, erroneous results, and performance degradation. Extending the interval to two years increases the likelihood that emerging safety signals remain undetected for longer, delaying necessary corrective actions.</w:t>
            </w:r>
          </w:p>
          <w:p w14:paraId="57EECC46" w14:textId="77777777" w:rsidR="00F26E61" w:rsidRPr="00F97146" w:rsidRDefault="00F26E61" w:rsidP="00407A8E">
            <w:pPr>
              <w:rPr>
                <w:iCs w:val="0"/>
                <w:sz w:val="18"/>
                <w:szCs w:val="14"/>
              </w:rPr>
            </w:pPr>
          </w:p>
          <w:p w14:paraId="7F1F8FBD" w14:textId="77777777" w:rsidR="00F26E61" w:rsidRPr="00F97146" w:rsidRDefault="00F26E61" w:rsidP="00407A8E">
            <w:pPr>
              <w:rPr>
                <w:rFonts w:eastAsia="Segoe UI" w:cs="Segoe UI"/>
                <w:b/>
                <w:bCs/>
                <w:iCs w:val="0"/>
                <w:sz w:val="18"/>
                <w:szCs w:val="14"/>
              </w:rPr>
            </w:pPr>
            <w:r w:rsidRPr="00F97146">
              <w:rPr>
                <w:rFonts w:eastAsia="Segoe UI" w:cs="Segoe UI"/>
                <w:iCs w:val="0"/>
                <w:sz w:val="18"/>
                <w:szCs w:val="14"/>
              </w:rPr>
              <w:t xml:space="preserve">Class D devices present the highest individual and public health risk (e.g., blood screening, transmissible agents), and annual updates are essential to ensure timely identification of safety concerns. The same approach should be maintained for class C devices for self-testing, near-patient testing and </w:t>
            </w:r>
            <w:proofErr w:type="spellStart"/>
            <w:r w:rsidRPr="00F97146">
              <w:rPr>
                <w:rFonts w:eastAsia="Segoe UI" w:cs="Segoe UI"/>
                <w:iCs w:val="0"/>
                <w:sz w:val="18"/>
                <w:szCs w:val="14"/>
              </w:rPr>
              <w:t>CDx</w:t>
            </w:r>
            <w:proofErr w:type="spellEnd"/>
            <w:r w:rsidRPr="00F97146">
              <w:rPr>
                <w:rFonts w:eastAsia="Segoe UI" w:cs="Segoe UI"/>
                <w:iCs w:val="0"/>
                <w:sz w:val="18"/>
                <w:szCs w:val="14"/>
              </w:rPr>
              <w:t>. Class C devices for professional use that are not novel/orphan/breakthrough devices may retain a reduced frequency for administrative relief but still require updates following major changes. This approach preserves alignment with IVDR principles of proportionality and risk</w:t>
            </w:r>
            <w:r w:rsidRPr="00F97146">
              <w:rPr>
                <w:rFonts w:ascii="Cambria Math" w:eastAsia="Segoe UI" w:hAnsi="Cambria Math" w:cs="Cambria Math"/>
                <w:iCs w:val="0"/>
                <w:sz w:val="18"/>
                <w:szCs w:val="14"/>
              </w:rPr>
              <w:t>‑</w:t>
            </w:r>
            <w:r w:rsidRPr="00F97146">
              <w:rPr>
                <w:rFonts w:eastAsia="Segoe UI" w:cs="Segoe UI"/>
                <w:iCs w:val="0"/>
                <w:sz w:val="18"/>
                <w:szCs w:val="14"/>
              </w:rPr>
              <w:t>based oversight.</w:t>
            </w:r>
          </w:p>
        </w:tc>
        <w:tc>
          <w:tcPr>
            <w:tcW w:w="5528" w:type="dxa"/>
            <w:tcBorders>
              <w:top w:val="single" w:sz="4" w:space="0" w:color="auto"/>
              <w:left w:val="single" w:sz="4" w:space="0" w:color="auto"/>
              <w:bottom w:val="single" w:sz="4" w:space="0" w:color="auto"/>
              <w:right w:val="single" w:sz="4" w:space="0" w:color="auto"/>
            </w:tcBorders>
          </w:tcPr>
          <w:p w14:paraId="78DA3E97" w14:textId="77777777" w:rsidR="00F26E61" w:rsidRPr="00F97146" w:rsidRDefault="00F26E61" w:rsidP="00407A8E">
            <w:pPr>
              <w:rPr>
                <w:rFonts w:eastAsia="Segoe UI" w:cs="Segoe UI"/>
                <w:iCs w:val="0"/>
                <w:sz w:val="18"/>
                <w:szCs w:val="14"/>
              </w:rPr>
            </w:pPr>
            <w:r w:rsidRPr="00F97146">
              <w:rPr>
                <w:rFonts w:eastAsia="Segoe UI" w:cs="Segoe UI"/>
                <w:iCs w:val="0"/>
                <w:sz w:val="18"/>
                <w:szCs w:val="14"/>
              </w:rPr>
              <w:lastRenderedPageBreak/>
              <w:t>Manufacturers of class D devices, as well as class C devices intended for self-testing, near patient testing, companion diagnostics, or novel/orphan/breakthrough applications, shall update the PSUR at least annually and whenever there is a significant change in the benefit–risk determination or in the acceptability of erroneous results.</w:t>
            </w:r>
          </w:p>
          <w:p w14:paraId="67A02DA6" w14:textId="77777777" w:rsidR="00F26E61" w:rsidRPr="00F97146" w:rsidRDefault="00F26E61" w:rsidP="00407A8E">
            <w:pPr>
              <w:rPr>
                <w:iCs w:val="0"/>
                <w:sz w:val="18"/>
                <w:szCs w:val="14"/>
              </w:rPr>
            </w:pPr>
          </w:p>
          <w:p w14:paraId="070430D2" w14:textId="77777777" w:rsidR="00F26E61" w:rsidRPr="00F97146" w:rsidRDefault="00F26E61" w:rsidP="00407A8E">
            <w:pPr>
              <w:rPr>
                <w:rFonts w:eastAsia="Segoe UI" w:cs="Segoe UI"/>
                <w:iCs w:val="0"/>
                <w:sz w:val="18"/>
                <w:szCs w:val="14"/>
              </w:rPr>
            </w:pPr>
            <w:r w:rsidRPr="00F97146">
              <w:rPr>
                <w:rFonts w:eastAsia="Segoe UI" w:cs="Segoe UI"/>
                <w:iCs w:val="0"/>
                <w:sz w:val="18"/>
                <w:szCs w:val="14"/>
              </w:rPr>
              <w:lastRenderedPageBreak/>
              <w:t>Manufacturers of all other class C devices shall update the PSUR in the first year after the certificate is issued and every two years thereafter, or earlier if there is a significant change in the benefit–risk determination, in the acceptability of erroneous results, or when the NB has raised concerns and it has been agreed that these will be addressed through increased PSUR scrutiny.</w:t>
            </w:r>
          </w:p>
          <w:p w14:paraId="46D190E6" w14:textId="77777777" w:rsidR="00F26E61" w:rsidRPr="00F97146" w:rsidRDefault="00F26E61" w:rsidP="00407A8E">
            <w:pPr>
              <w:rPr>
                <w:iCs w:val="0"/>
                <w:sz w:val="18"/>
                <w:szCs w:val="14"/>
              </w:rPr>
            </w:pPr>
          </w:p>
          <w:p w14:paraId="70B0B2A0" w14:textId="77777777" w:rsidR="00F26E61" w:rsidRPr="00F97146" w:rsidRDefault="00F26E61" w:rsidP="00407A8E">
            <w:pPr>
              <w:spacing w:before="60"/>
              <w:rPr>
                <w:iCs w:val="0"/>
                <w:sz w:val="18"/>
                <w:szCs w:val="14"/>
              </w:rPr>
            </w:pPr>
            <w:r w:rsidRPr="00F97146">
              <w:rPr>
                <w:rFonts w:eastAsia="Segoe UI" w:cs="Segoe UI"/>
                <w:iCs w:val="0"/>
                <w:sz w:val="18"/>
                <w:szCs w:val="14"/>
              </w:rPr>
              <w:t>Each PSUR shall form part of the technical documentation as specified in Annex III.</w:t>
            </w:r>
          </w:p>
          <w:p w14:paraId="45C1939E" w14:textId="77777777" w:rsidR="00F26E61" w:rsidRPr="00F97146" w:rsidRDefault="00F26E61" w:rsidP="00407A8E">
            <w:pPr>
              <w:spacing w:before="60"/>
              <w:rPr>
                <w:rFonts w:eastAsia="Segoe UI" w:cs="Segoe UI"/>
                <w:iCs w:val="0"/>
                <w:sz w:val="18"/>
                <w:szCs w:val="14"/>
              </w:rPr>
            </w:pPr>
          </w:p>
        </w:tc>
      </w:tr>
      <w:tr w:rsidR="00F26E61" w:rsidRPr="00F97146" w14:paraId="674C754C" w14:textId="77777777" w:rsidTr="0022597C">
        <w:tc>
          <w:tcPr>
            <w:tcW w:w="568" w:type="dxa"/>
          </w:tcPr>
          <w:p w14:paraId="40865936" w14:textId="77777777" w:rsidR="00F26E61" w:rsidRPr="00F97146" w:rsidRDefault="00F26E61" w:rsidP="00407A8E">
            <w:pPr>
              <w:spacing w:line="276" w:lineRule="auto"/>
              <w:ind w:left="-48" w:firstLine="6"/>
              <w:jc w:val="center"/>
              <w:rPr>
                <w:rFonts w:eastAsia="Segoe UI" w:cs="Segoe UI"/>
                <w:iCs w:val="0"/>
                <w:sz w:val="18"/>
                <w:szCs w:val="14"/>
              </w:rPr>
            </w:pPr>
            <w:r w:rsidRPr="00F97146">
              <w:rPr>
                <w:rFonts w:eastAsia="Segoe UI" w:cs="Segoe UI"/>
                <w:iCs w:val="0"/>
                <w:sz w:val="18"/>
                <w:szCs w:val="14"/>
              </w:rPr>
              <w:lastRenderedPageBreak/>
              <w:t>52</w:t>
            </w:r>
          </w:p>
        </w:tc>
        <w:tc>
          <w:tcPr>
            <w:tcW w:w="1134" w:type="dxa"/>
            <w:tcBorders>
              <w:top w:val="single" w:sz="4" w:space="0" w:color="auto"/>
              <w:left w:val="single" w:sz="4" w:space="0" w:color="auto"/>
              <w:bottom w:val="single" w:sz="4" w:space="0" w:color="auto"/>
              <w:right w:val="single" w:sz="4" w:space="0" w:color="auto"/>
            </w:tcBorders>
          </w:tcPr>
          <w:p w14:paraId="7D193405" w14:textId="77777777" w:rsidR="00F26E61" w:rsidRPr="00F97146" w:rsidDel="00197808" w:rsidRDefault="00F26E61" w:rsidP="00407A8E">
            <w:pPr>
              <w:spacing w:line="276" w:lineRule="auto"/>
              <w:ind w:left="-48" w:firstLine="6"/>
              <w:jc w:val="center"/>
              <w:rPr>
                <w:rFonts w:eastAsia="Segoe UI" w:cs="Segoe UI"/>
                <w:iCs w:val="0"/>
                <w:sz w:val="18"/>
                <w:szCs w:val="14"/>
              </w:rPr>
            </w:pPr>
            <w:r w:rsidRPr="00F97146">
              <w:rPr>
                <w:rFonts w:eastAsia="Segoe UI" w:cs="Segoe UI"/>
                <w:iCs w:val="0"/>
                <w:sz w:val="18"/>
                <w:szCs w:val="14"/>
              </w:rPr>
              <w:t>118</w:t>
            </w:r>
          </w:p>
        </w:tc>
        <w:tc>
          <w:tcPr>
            <w:tcW w:w="1114" w:type="dxa"/>
            <w:tcBorders>
              <w:top w:val="single" w:sz="4" w:space="0" w:color="auto"/>
              <w:left w:val="single" w:sz="4" w:space="0" w:color="auto"/>
              <w:bottom w:val="single" w:sz="4" w:space="0" w:color="auto"/>
              <w:right w:val="single" w:sz="4" w:space="0" w:color="auto"/>
            </w:tcBorders>
          </w:tcPr>
          <w:p w14:paraId="4AEDA7FD" w14:textId="77777777" w:rsidR="00F26E61" w:rsidRPr="00F97146" w:rsidRDefault="00F26E61" w:rsidP="00407A8E">
            <w:pPr>
              <w:spacing w:line="276" w:lineRule="auto"/>
              <w:ind w:left="75"/>
              <w:jc w:val="center"/>
              <w:rPr>
                <w:rFonts w:eastAsia="Segoe UI" w:cs="Segoe UI"/>
                <w:iCs w:val="0"/>
                <w:sz w:val="18"/>
                <w:szCs w:val="14"/>
              </w:rPr>
            </w:pPr>
            <w:r w:rsidRPr="00F97146">
              <w:rPr>
                <w:rFonts w:eastAsia="Segoe UI" w:cs="Segoe UI"/>
                <w:iCs w:val="0"/>
                <w:sz w:val="18"/>
                <w:szCs w:val="14"/>
              </w:rPr>
              <w:t>2</w:t>
            </w:r>
          </w:p>
        </w:tc>
        <w:tc>
          <w:tcPr>
            <w:tcW w:w="1134" w:type="dxa"/>
            <w:tcBorders>
              <w:top w:val="single" w:sz="4" w:space="0" w:color="auto"/>
              <w:left w:val="single" w:sz="4" w:space="0" w:color="auto"/>
              <w:bottom w:val="single" w:sz="4" w:space="0" w:color="auto"/>
              <w:right w:val="single" w:sz="4" w:space="0" w:color="auto"/>
            </w:tcBorders>
          </w:tcPr>
          <w:p w14:paraId="1A527EA3" w14:textId="77777777" w:rsidR="00F26E61" w:rsidRPr="00F97146" w:rsidRDefault="00F26E61" w:rsidP="00407A8E">
            <w:pPr>
              <w:spacing w:line="276" w:lineRule="auto"/>
              <w:jc w:val="center"/>
              <w:rPr>
                <w:rFonts w:eastAsia="Segoe UI" w:cs="Segoe UI"/>
                <w:iCs w:val="0"/>
                <w:sz w:val="18"/>
                <w:szCs w:val="14"/>
              </w:rPr>
            </w:pPr>
            <w:r w:rsidRPr="00F97146">
              <w:rPr>
                <w:rFonts w:eastAsia="Segoe UI" w:cs="Segoe UI"/>
                <w:iCs w:val="0"/>
                <w:sz w:val="18"/>
                <w:szCs w:val="14"/>
              </w:rPr>
              <w:t>53</w:t>
            </w:r>
          </w:p>
        </w:tc>
        <w:tc>
          <w:tcPr>
            <w:tcW w:w="1134" w:type="dxa"/>
            <w:tcBorders>
              <w:top w:val="single" w:sz="4" w:space="0" w:color="auto"/>
              <w:left w:val="single" w:sz="4" w:space="0" w:color="auto"/>
              <w:bottom w:val="single" w:sz="4" w:space="0" w:color="auto"/>
              <w:right w:val="single" w:sz="4" w:space="0" w:color="auto"/>
            </w:tcBorders>
          </w:tcPr>
          <w:p w14:paraId="69D0F201" w14:textId="77777777" w:rsidR="00F26E61" w:rsidRPr="00F97146" w:rsidRDefault="00F26E61" w:rsidP="00407A8E">
            <w:pPr>
              <w:jc w:val="center"/>
              <w:rPr>
                <w:rFonts w:eastAsia="Segoe UI" w:cs="Segoe UI"/>
                <w:iCs w:val="0"/>
                <w:sz w:val="18"/>
                <w:szCs w:val="14"/>
              </w:rPr>
            </w:pPr>
            <w:r w:rsidRPr="00F97146">
              <w:rPr>
                <w:rFonts w:eastAsia="Segoe UI" w:cs="Segoe UI"/>
                <w:iCs w:val="0"/>
                <w:sz w:val="18"/>
                <w:szCs w:val="14"/>
              </w:rPr>
              <w:t>b</w:t>
            </w:r>
          </w:p>
        </w:tc>
        <w:tc>
          <w:tcPr>
            <w:tcW w:w="4840" w:type="dxa"/>
            <w:tcBorders>
              <w:top w:val="single" w:sz="4" w:space="0" w:color="auto"/>
              <w:left w:val="single" w:sz="4" w:space="0" w:color="auto"/>
              <w:bottom w:val="single" w:sz="4" w:space="0" w:color="auto"/>
              <w:right w:val="single" w:sz="4" w:space="0" w:color="auto"/>
            </w:tcBorders>
          </w:tcPr>
          <w:p w14:paraId="0FE0F273" w14:textId="77777777" w:rsidR="00F26E61" w:rsidRPr="00F97146" w:rsidRDefault="00F26E61" w:rsidP="00407A8E">
            <w:pPr>
              <w:spacing w:before="60"/>
              <w:rPr>
                <w:iCs w:val="0"/>
                <w:sz w:val="18"/>
                <w:szCs w:val="14"/>
              </w:rPr>
            </w:pPr>
            <w:r w:rsidRPr="00F97146">
              <w:rPr>
                <w:rFonts w:eastAsia="Segoe UI" w:cs="Segoe UI"/>
                <w:iCs w:val="0"/>
                <w:sz w:val="18"/>
                <w:szCs w:val="14"/>
              </w:rPr>
              <w:t>Commission proposal:</w:t>
            </w:r>
          </w:p>
          <w:p w14:paraId="43C1D056" w14:textId="77777777" w:rsidR="00F26E61" w:rsidRPr="00F97146" w:rsidRDefault="00F26E61" w:rsidP="00407A8E">
            <w:pPr>
              <w:spacing w:before="60"/>
              <w:rPr>
                <w:iCs w:val="0"/>
                <w:sz w:val="18"/>
                <w:szCs w:val="14"/>
              </w:rPr>
            </w:pPr>
            <w:r w:rsidRPr="00F97146">
              <w:rPr>
                <w:rFonts w:eastAsia="Segoe UI" w:cs="Segoe UI"/>
                <w:iCs w:val="0"/>
                <w:sz w:val="18"/>
                <w:szCs w:val="14"/>
              </w:rPr>
              <w:t>“</w:t>
            </w:r>
            <w:r w:rsidRPr="00F97146">
              <w:rPr>
                <w:rFonts w:eastAsia="Segoe UI" w:cs="Segoe UI"/>
                <w:i/>
                <w:sz w:val="18"/>
                <w:szCs w:val="14"/>
              </w:rPr>
              <w:t>For class D devices, the notified body shall review the PSUR during the</w:t>
            </w:r>
            <w:r w:rsidRPr="00F97146">
              <w:rPr>
                <w:i/>
                <w:sz w:val="18"/>
                <w:szCs w:val="14"/>
              </w:rPr>
              <w:t xml:space="preserve"> </w:t>
            </w:r>
            <w:r w:rsidRPr="00F97146">
              <w:rPr>
                <w:rFonts w:eastAsia="Segoe UI" w:cs="Segoe UI"/>
                <w:i/>
                <w:sz w:val="18"/>
                <w:szCs w:val="14"/>
              </w:rPr>
              <w:t>surveillance assessment. The manufacturer and notified body shall make such PSURs and the evaluation by the notified body available to the competent authorities through the electronic system referred to in Art 87”</w:t>
            </w:r>
          </w:p>
          <w:p w14:paraId="7D6253AC" w14:textId="77777777" w:rsidR="00F26E61" w:rsidRPr="00F97146" w:rsidRDefault="00F26E61" w:rsidP="00407A8E">
            <w:pPr>
              <w:spacing w:before="60"/>
              <w:rPr>
                <w:iCs w:val="0"/>
                <w:sz w:val="18"/>
                <w:szCs w:val="14"/>
              </w:rPr>
            </w:pPr>
          </w:p>
          <w:p w14:paraId="4030E4EC" w14:textId="77777777" w:rsidR="00F26E61" w:rsidRPr="00F97146" w:rsidRDefault="00F26E61" w:rsidP="00407A8E">
            <w:pPr>
              <w:rPr>
                <w:rFonts w:eastAsia="Segoe UI" w:cs="Segoe UI"/>
                <w:iCs w:val="0"/>
                <w:sz w:val="18"/>
                <w:szCs w:val="14"/>
              </w:rPr>
            </w:pPr>
            <w:r w:rsidRPr="00F97146">
              <w:rPr>
                <w:rFonts w:eastAsia="Segoe UI" w:cs="Segoe UI"/>
                <w:iCs w:val="0"/>
                <w:sz w:val="18"/>
                <w:szCs w:val="14"/>
              </w:rPr>
              <w:lastRenderedPageBreak/>
              <w:t>Self-testing and near-patient testing (NPT) devices are used by laypersons or in decentralized settings. Errors in performance or usability can lead to misdiagnosis, delayed treatment, or unnecessary interventions.</w:t>
            </w:r>
          </w:p>
          <w:p w14:paraId="2ECAF9E4" w14:textId="77777777" w:rsidR="00F26E61" w:rsidRPr="00F97146" w:rsidRDefault="00F26E61" w:rsidP="00407A8E">
            <w:pPr>
              <w:rPr>
                <w:iCs w:val="0"/>
                <w:sz w:val="18"/>
                <w:szCs w:val="14"/>
              </w:rPr>
            </w:pPr>
          </w:p>
          <w:p w14:paraId="3BE17698" w14:textId="77777777" w:rsidR="00F26E61" w:rsidRPr="00F97146" w:rsidRDefault="00F26E61" w:rsidP="00407A8E">
            <w:pPr>
              <w:rPr>
                <w:rFonts w:eastAsia="Segoe UI" w:cs="Segoe UI"/>
                <w:iCs w:val="0"/>
                <w:sz w:val="18"/>
                <w:szCs w:val="14"/>
              </w:rPr>
            </w:pPr>
            <w:r w:rsidRPr="00F97146">
              <w:rPr>
                <w:rFonts w:eastAsia="Segoe UI" w:cs="Segoe UI"/>
                <w:iCs w:val="0"/>
                <w:sz w:val="18"/>
                <w:szCs w:val="14"/>
              </w:rPr>
              <w:t>Companion diagnostics directly influence drug selection and dosing for critical therapies (e.g., oncology). Incorrect results can cause serious harm or treatment failure. Without NB review, PSURs remain internal to manufacturers. This creates a risk that emerging safety signals or performance issues are not independently validated.</w:t>
            </w:r>
          </w:p>
          <w:p w14:paraId="538F8C18" w14:textId="77777777" w:rsidR="00F26E61" w:rsidRPr="00F97146" w:rsidRDefault="00F26E61" w:rsidP="00407A8E">
            <w:pPr>
              <w:rPr>
                <w:rFonts w:eastAsia="Segoe UI" w:cs="Segoe UI"/>
                <w:iCs w:val="0"/>
                <w:sz w:val="18"/>
                <w:szCs w:val="14"/>
              </w:rPr>
            </w:pPr>
          </w:p>
          <w:p w14:paraId="44FE5D9E" w14:textId="77777777" w:rsidR="00F26E61" w:rsidRPr="00F97146" w:rsidRDefault="00F26E61" w:rsidP="00407A8E">
            <w:pPr>
              <w:spacing w:before="60"/>
              <w:rPr>
                <w:rFonts w:eastAsia="Segoe UI" w:cs="Segoe UI"/>
                <w:b/>
                <w:bCs/>
                <w:iCs w:val="0"/>
                <w:sz w:val="18"/>
                <w:szCs w:val="14"/>
              </w:rPr>
            </w:pPr>
            <w:r w:rsidRPr="00F97146">
              <w:rPr>
                <w:rFonts w:eastAsia="Segoe UI" w:cs="Segoe UI"/>
                <w:iCs w:val="0"/>
                <w:sz w:val="18"/>
                <w:szCs w:val="14"/>
              </w:rPr>
              <w:t>NB oversight ensures objective evaluation of benefit-risk balance and acceptability of erroneous results, which is crucial for devices guiding high-stakes decisions. Self-testing and NPT devices often face real-world usability challenges. NB review of PSURs helps identify patterns of user errors or design flaws that manufacturers might overlook.</w:t>
            </w:r>
          </w:p>
        </w:tc>
        <w:tc>
          <w:tcPr>
            <w:tcW w:w="5528" w:type="dxa"/>
            <w:tcBorders>
              <w:top w:val="single" w:sz="4" w:space="0" w:color="auto"/>
              <w:left w:val="single" w:sz="4" w:space="0" w:color="auto"/>
              <w:bottom w:val="single" w:sz="4" w:space="0" w:color="auto"/>
              <w:right w:val="single" w:sz="4" w:space="0" w:color="auto"/>
            </w:tcBorders>
          </w:tcPr>
          <w:p w14:paraId="6D5A5BA0" w14:textId="77777777" w:rsidR="00F26E61" w:rsidRPr="00F97146" w:rsidRDefault="00F26E61" w:rsidP="00407A8E">
            <w:pPr>
              <w:spacing w:before="60"/>
              <w:rPr>
                <w:iCs w:val="0"/>
                <w:sz w:val="18"/>
                <w:szCs w:val="14"/>
              </w:rPr>
            </w:pPr>
            <w:r w:rsidRPr="00F97146">
              <w:rPr>
                <w:rFonts w:eastAsia="Segoe UI" w:cs="Segoe UI"/>
                <w:iCs w:val="0"/>
                <w:sz w:val="18"/>
                <w:szCs w:val="14"/>
              </w:rPr>
              <w:lastRenderedPageBreak/>
              <w:t>Team NB proposed text:</w:t>
            </w:r>
          </w:p>
          <w:p w14:paraId="3E79F22D" w14:textId="77777777" w:rsidR="00F26E61" w:rsidRPr="00F97146" w:rsidRDefault="00F26E61" w:rsidP="00407A8E">
            <w:pPr>
              <w:spacing w:before="60"/>
              <w:rPr>
                <w:rFonts w:eastAsia="Segoe UI" w:cs="Segoe UI"/>
                <w:iCs w:val="0"/>
                <w:sz w:val="18"/>
                <w:szCs w:val="14"/>
              </w:rPr>
            </w:pPr>
            <w:r w:rsidRPr="00F97146">
              <w:rPr>
                <w:rFonts w:eastAsia="Segoe UI" w:cs="Segoe UI"/>
                <w:iCs w:val="0"/>
                <w:sz w:val="18"/>
                <w:szCs w:val="14"/>
              </w:rPr>
              <w:t>“</w:t>
            </w:r>
            <w:r w:rsidRPr="00F97146">
              <w:rPr>
                <w:rFonts w:eastAsia="Segoe UI" w:cs="Segoe UI"/>
                <w:i/>
                <w:sz w:val="18"/>
                <w:szCs w:val="14"/>
              </w:rPr>
              <w:t>For Class C devices intended for self-testing, near-patient testing, and companion diagnostics and Class D devices, the notified body shall review the PSUR during surveillance assessments. The manufacturer and notified body shall make such PSURs and the evaluation by the notified body available to competent authorities through the electronic system referred to in Art 87.”</w:t>
            </w:r>
          </w:p>
        </w:tc>
      </w:tr>
      <w:tr w:rsidR="00F26E61" w:rsidRPr="00F97146" w14:paraId="7041A9C1" w14:textId="77777777" w:rsidTr="0022597C">
        <w:tc>
          <w:tcPr>
            <w:tcW w:w="568" w:type="dxa"/>
          </w:tcPr>
          <w:p w14:paraId="7B3CD35A" w14:textId="77777777" w:rsidR="00F26E61" w:rsidRPr="00F97146" w:rsidRDefault="00F26E61" w:rsidP="00407A8E">
            <w:pPr>
              <w:spacing w:line="276" w:lineRule="auto"/>
              <w:ind w:left="-48" w:firstLine="6"/>
              <w:jc w:val="center"/>
              <w:rPr>
                <w:rFonts w:cs="Segoe UI"/>
                <w:iCs w:val="0"/>
                <w:sz w:val="18"/>
                <w:szCs w:val="14"/>
                <w:lang w:val="de-DE"/>
              </w:rPr>
            </w:pPr>
            <w:r w:rsidRPr="00F97146">
              <w:rPr>
                <w:rFonts w:cs="Segoe UI"/>
                <w:iCs w:val="0"/>
                <w:sz w:val="18"/>
                <w:szCs w:val="14"/>
                <w:lang w:val="de-DE"/>
              </w:rPr>
              <w:t>53</w:t>
            </w:r>
          </w:p>
        </w:tc>
        <w:tc>
          <w:tcPr>
            <w:tcW w:w="1134" w:type="dxa"/>
            <w:tcBorders>
              <w:top w:val="single" w:sz="4" w:space="0" w:color="auto"/>
              <w:left w:val="single" w:sz="4" w:space="0" w:color="auto"/>
              <w:bottom w:val="single" w:sz="4" w:space="0" w:color="auto"/>
              <w:right w:val="single" w:sz="4" w:space="0" w:color="auto"/>
            </w:tcBorders>
          </w:tcPr>
          <w:p w14:paraId="67850F5D" w14:textId="77777777" w:rsidR="00F26E61" w:rsidRPr="00F97146" w:rsidRDefault="00F26E61" w:rsidP="00407A8E">
            <w:pPr>
              <w:spacing w:line="276" w:lineRule="auto"/>
              <w:ind w:left="-48" w:firstLine="6"/>
              <w:jc w:val="center"/>
              <w:rPr>
                <w:rFonts w:eastAsia="Segoe UI" w:cs="Segoe UI"/>
                <w:iCs w:val="0"/>
                <w:sz w:val="18"/>
                <w:szCs w:val="14"/>
              </w:rPr>
            </w:pPr>
            <w:r w:rsidRPr="00F97146">
              <w:rPr>
                <w:rFonts w:cs="Segoe UI"/>
                <w:iCs w:val="0"/>
                <w:sz w:val="18"/>
                <w:szCs w:val="14"/>
                <w:lang w:val="de-DE"/>
              </w:rPr>
              <w:t>11, 35</w:t>
            </w:r>
          </w:p>
        </w:tc>
        <w:tc>
          <w:tcPr>
            <w:tcW w:w="1114" w:type="dxa"/>
            <w:tcBorders>
              <w:top w:val="single" w:sz="4" w:space="0" w:color="auto"/>
              <w:left w:val="single" w:sz="4" w:space="0" w:color="auto"/>
              <w:bottom w:val="single" w:sz="4" w:space="0" w:color="auto"/>
              <w:right w:val="single" w:sz="4" w:space="0" w:color="auto"/>
            </w:tcBorders>
          </w:tcPr>
          <w:p w14:paraId="76AB63BC" w14:textId="77777777" w:rsidR="00F26E61" w:rsidRPr="00F97146" w:rsidRDefault="00F26E61" w:rsidP="00407A8E">
            <w:pPr>
              <w:spacing w:line="276" w:lineRule="auto"/>
              <w:ind w:left="75"/>
              <w:jc w:val="center"/>
              <w:rPr>
                <w:rFonts w:cs="Segoe UI"/>
                <w:iCs w:val="0"/>
                <w:sz w:val="18"/>
                <w:szCs w:val="14"/>
                <w:lang w:val="de-DE"/>
              </w:rPr>
            </w:pPr>
            <w:r w:rsidRPr="00F97146">
              <w:rPr>
                <w:rFonts w:cs="Segoe UI"/>
                <w:iCs w:val="0"/>
                <w:sz w:val="18"/>
                <w:szCs w:val="14"/>
                <w:lang w:val="de-DE"/>
              </w:rPr>
              <w:t>MDR: Ann I</w:t>
            </w:r>
          </w:p>
          <w:p w14:paraId="281E144A" w14:textId="77777777" w:rsidR="00F26E61" w:rsidRPr="00F97146" w:rsidRDefault="00F26E61" w:rsidP="00407A8E">
            <w:pPr>
              <w:spacing w:line="276" w:lineRule="auto"/>
              <w:ind w:left="75"/>
              <w:jc w:val="center"/>
              <w:rPr>
                <w:rFonts w:eastAsia="Segoe UI" w:cs="Segoe UI"/>
                <w:iCs w:val="0"/>
                <w:sz w:val="18"/>
                <w:szCs w:val="14"/>
              </w:rPr>
            </w:pPr>
            <w:r w:rsidRPr="00F97146">
              <w:rPr>
                <w:rFonts w:cs="Segoe UI"/>
                <w:iCs w:val="0"/>
                <w:sz w:val="18"/>
                <w:szCs w:val="14"/>
                <w:lang w:val="de-DE"/>
              </w:rPr>
              <w:t>IVDR: Ann II</w:t>
            </w:r>
          </w:p>
        </w:tc>
        <w:tc>
          <w:tcPr>
            <w:tcW w:w="1134" w:type="dxa"/>
            <w:tcBorders>
              <w:top w:val="single" w:sz="4" w:space="0" w:color="auto"/>
              <w:left w:val="single" w:sz="4" w:space="0" w:color="auto"/>
              <w:bottom w:val="single" w:sz="4" w:space="0" w:color="auto"/>
              <w:right w:val="single" w:sz="4" w:space="0" w:color="auto"/>
            </w:tcBorders>
          </w:tcPr>
          <w:p w14:paraId="24FD316D" w14:textId="77777777" w:rsidR="00F26E61" w:rsidRPr="00F97146" w:rsidRDefault="00F26E61" w:rsidP="00407A8E">
            <w:pPr>
              <w:spacing w:before="60"/>
              <w:jc w:val="center"/>
              <w:rPr>
                <w:rFonts w:eastAsia="Segoe UI" w:cs="Segoe UI"/>
                <w:iCs w:val="0"/>
                <w:sz w:val="18"/>
                <w:szCs w:val="14"/>
              </w:rPr>
            </w:pPr>
            <w:r w:rsidRPr="00F97146">
              <w:rPr>
                <w:rFonts w:eastAsia="Segoe UI" w:cs="Segoe UI"/>
                <w:iCs w:val="0"/>
                <w:sz w:val="18"/>
                <w:szCs w:val="14"/>
              </w:rPr>
              <w:t>5</w:t>
            </w:r>
          </w:p>
        </w:tc>
        <w:tc>
          <w:tcPr>
            <w:tcW w:w="1134" w:type="dxa"/>
            <w:tcBorders>
              <w:top w:val="single" w:sz="4" w:space="0" w:color="auto"/>
              <w:left w:val="single" w:sz="4" w:space="0" w:color="auto"/>
              <w:bottom w:val="single" w:sz="4" w:space="0" w:color="auto"/>
              <w:right w:val="single" w:sz="4" w:space="0" w:color="auto"/>
            </w:tcBorders>
          </w:tcPr>
          <w:p w14:paraId="205DF492" w14:textId="77777777" w:rsidR="00F26E61" w:rsidRPr="00F97146" w:rsidRDefault="00F26E61" w:rsidP="00407A8E">
            <w:pPr>
              <w:spacing w:before="60"/>
              <w:jc w:val="center"/>
              <w:rPr>
                <w:rFonts w:cs="Segoe UI"/>
                <w:iCs w:val="0"/>
                <w:sz w:val="18"/>
                <w:szCs w:val="14"/>
                <w:lang w:val="en-US"/>
              </w:rPr>
            </w:pPr>
            <w:r w:rsidRPr="00F97146">
              <w:rPr>
                <w:rFonts w:cs="Segoe UI"/>
                <w:iCs w:val="0"/>
                <w:sz w:val="18"/>
                <w:szCs w:val="14"/>
                <w:lang w:val="en-US"/>
              </w:rPr>
              <w:t>MDR: z</w:t>
            </w:r>
          </w:p>
          <w:p w14:paraId="4F7C53F0" w14:textId="77777777" w:rsidR="00F26E61" w:rsidRPr="00F97146" w:rsidRDefault="00F26E61" w:rsidP="00407A8E">
            <w:pPr>
              <w:spacing w:before="60"/>
              <w:jc w:val="center"/>
              <w:rPr>
                <w:rFonts w:eastAsia="Segoe UI" w:cs="Segoe UI"/>
                <w:iCs w:val="0"/>
                <w:sz w:val="18"/>
                <w:szCs w:val="14"/>
                <w:lang w:val="en-US"/>
              </w:rPr>
            </w:pPr>
            <w:r w:rsidRPr="00F97146">
              <w:rPr>
                <w:rFonts w:cs="Segoe UI"/>
                <w:iCs w:val="0"/>
                <w:sz w:val="18"/>
                <w:szCs w:val="14"/>
                <w:lang w:val="en-US"/>
              </w:rPr>
              <w:t>IVDR: y</w:t>
            </w:r>
          </w:p>
        </w:tc>
        <w:tc>
          <w:tcPr>
            <w:tcW w:w="4840" w:type="dxa"/>
            <w:tcBorders>
              <w:top w:val="single" w:sz="4" w:space="0" w:color="auto"/>
              <w:left w:val="single" w:sz="4" w:space="0" w:color="auto"/>
              <w:bottom w:val="single" w:sz="4" w:space="0" w:color="auto"/>
              <w:right w:val="single" w:sz="4" w:space="0" w:color="auto"/>
            </w:tcBorders>
          </w:tcPr>
          <w:p w14:paraId="6FAD024A" w14:textId="77777777" w:rsidR="00F26E61" w:rsidRPr="00F97146" w:rsidRDefault="00F26E61" w:rsidP="00407A8E">
            <w:pPr>
              <w:pStyle w:val="ISOChange"/>
              <w:spacing w:line="240" w:lineRule="auto"/>
              <w:rPr>
                <w:rFonts w:ascii="Aptos" w:hAnsi="Aptos" w:cs="Segoe UI"/>
                <w:sz w:val="18"/>
                <w:szCs w:val="14"/>
                <w:lang w:val="en-US"/>
              </w:rPr>
            </w:pPr>
            <w:r w:rsidRPr="00F97146">
              <w:rPr>
                <w:rFonts w:ascii="Aptos" w:hAnsi="Aptos" w:cs="Segoe UI"/>
                <w:sz w:val="18"/>
                <w:szCs w:val="14"/>
                <w:lang w:val="en-US"/>
              </w:rPr>
              <w:t>The proposal for removing the conventional maximum validity period of certificates issued by NBs (Art 56 and Ann VII 4.8 and 4.11) and replacing it by a continuous monitoring system can be considered. However, it should be considered and expected that there will be more interim escalations (e.g. suspensions) during the annual surveillance respectively the review period.</w:t>
            </w:r>
          </w:p>
          <w:p w14:paraId="5B3DC47F" w14:textId="77777777" w:rsidR="00F26E61" w:rsidRPr="00F97146" w:rsidRDefault="00F26E61" w:rsidP="00407A8E">
            <w:pPr>
              <w:pStyle w:val="ISOChange"/>
              <w:spacing w:line="240" w:lineRule="auto"/>
              <w:rPr>
                <w:rFonts w:ascii="Aptos" w:hAnsi="Aptos" w:cs="Segoe UI"/>
                <w:sz w:val="18"/>
                <w:szCs w:val="14"/>
                <w:lang w:val="en-US"/>
              </w:rPr>
            </w:pPr>
            <w:r w:rsidRPr="00F97146">
              <w:rPr>
                <w:rFonts w:ascii="Aptos" w:hAnsi="Aptos" w:cs="Segoe UI"/>
                <w:sz w:val="18"/>
                <w:szCs w:val="14"/>
                <w:lang w:val="en-US"/>
              </w:rPr>
              <w:t>The proposed new Ann VII, 4.11 Periodic reviews and the NB internal extension considerations of a certificate’s validity period bears the risk of a very non-harmonized implementation.</w:t>
            </w:r>
          </w:p>
          <w:p w14:paraId="6BA82077" w14:textId="77777777" w:rsidR="00F26E61" w:rsidRDefault="00F26E61" w:rsidP="00407A8E">
            <w:pPr>
              <w:pStyle w:val="ISOChange"/>
              <w:spacing w:before="0" w:line="240" w:lineRule="auto"/>
              <w:rPr>
                <w:rFonts w:ascii="Aptos" w:hAnsi="Aptos" w:cs="Segoe UI"/>
                <w:sz w:val="18"/>
                <w:szCs w:val="14"/>
                <w:lang w:val="en-US"/>
              </w:rPr>
            </w:pPr>
          </w:p>
          <w:p w14:paraId="2BF25763" w14:textId="77777777" w:rsidR="00F26E61" w:rsidRPr="00F97146" w:rsidRDefault="00F26E61" w:rsidP="00407A8E">
            <w:pPr>
              <w:pStyle w:val="ISOChange"/>
              <w:spacing w:before="0" w:line="240" w:lineRule="auto"/>
              <w:rPr>
                <w:rFonts w:ascii="Aptos" w:hAnsi="Aptos" w:cs="Segoe UI"/>
                <w:sz w:val="18"/>
                <w:szCs w:val="14"/>
                <w:lang w:val="en-US"/>
              </w:rPr>
            </w:pPr>
            <w:r w:rsidRPr="00F97146">
              <w:rPr>
                <w:rFonts w:ascii="Aptos" w:hAnsi="Aptos" w:cs="Segoe UI"/>
                <w:sz w:val="18"/>
                <w:szCs w:val="14"/>
                <w:lang w:val="en-US"/>
              </w:rPr>
              <w:t>It is strongly recommended to specify the details, for example the harmonization with common international ISO 13485-based regulatory schemes, and their uniform 3-year cycle.</w:t>
            </w:r>
          </w:p>
          <w:p w14:paraId="0B0F4902" w14:textId="77777777" w:rsidR="00F26E61" w:rsidRPr="00F97146" w:rsidRDefault="00F26E61" w:rsidP="00407A8E">
            <w:pPr>
              <w:pStyle w:val="ISOChange"/>
              <w:spacing w:before="60"/>
              <w:rPr>
                <w:rFonts w:ascii="Aptos" w:hAnsi="Aptos" w:cs="Segoe UI"/>
                <w:sz w:val="18"/>
                <w:szCs w:val="14"/>
              </w:rPr>
            </w:pPr>
            <w:r w:rsidRPr="00F97146">
              <w:rPr>
                <w:rFonts w:ascii="Aptos" w:hAnsi="Aptos" w:cs="Segoe UI"/>
                <w:sz w:val="18"/>
                <w:szCs w:val="14"/>
              </w:rPr>
              <w:t>The proposed periodic reviews focus primarily on changes, PMS data and clinical data from PMS/PMCF activities. There is no explicit requirement to consider evolving medical, scientific and technical knowledge or changes in regulatory requirements, which could negatively impact patient safety.”</w:t>
            </w:r>
          </w:p>
          <w:p w14:paraId="6470959C" w14:textId="77777777" w:rsidR="00F26E61" w:rsidRPr="00F97146" w:rsidRDefault="00F26E61" w:rsidP="00407A8E">
            <w:pPr>
              <w:pStyle w:val="ISOChange"/>
              <w:spacing w:before="60" w:line="240" w:lineRule="auto"/>
              <w:rPr>
                <w:rFonts w:ascii="Aptos" w:hAnsi="Aptos" w:cs="Segoe UI"/>
                <w:sz w:val="18"/>
                <w:szCs w:val="14"/>
              </w:rPr>
            </w:pPr>
          </w:p>
          <w:p w14:paraId="4E28713D" w14:textId="77777777" w:rsidR="00F26E61" w:rsidRDefault="00F26E61" w:rsidP="00407A8E">
            <w:pPr>
              <w:spacing w:before="60"/>
              <w:rPr>
                <w:rFonts w:cs="Segoe UI"/>
                <w:iCs w:val="0"/>
                <w:sz w:val="18"/>
                <w:szCs w:val="14"/>
                <w:lang w:val="en-US"/>
              </w:rPr>
            </w:pPr>
            <w:r w:rsidRPr="00F97146">
              <w:rPr>
                <w:rFonts w:cs="Segoe UI"/>
                <w:iCs w:val="0"/>
                <w:sz w:val="18"/>
                <w:szCs w:val="14"/>
                <w:lang w:val="en-US"/>
              </w:rPr>
              <w:t>The NBs should have the possibility to actively reconfirm the continuous validity of the certificate after conducting positively the periodic review in the EUDAMED’s Notified Bodies and Certificates module.</w:t>
            </w:r>
          </w:p>
          <w:p w14:paraId="008D1CC3" w14:textId="77777777" w:rsidR="00F26E61" w:rsidRDefault="00F26E61" w:rsidP="00407A8E">
            <w:pPr>
              <w:spacing w:before="60"/>
              <w:rPr>
                <w:rFonts w:cs="Segoe UI"/>
                <w:iCs w:val="0"/>
                <w:sz w:val="18"/>
                <w:szCs w:val="14"/>
                <w:lang w:val="en-US"/>
              </w:rPr>
            </w:pPr>
          </w:p>
          <w:p w14:paraId="40951206" w14:textId="77777777" w:rsidR="00F26E61" w:rsidRPr="00B637DC" w:rsidRDefault="00F26E61" w:rsidP="00407A8E">
            <w:pPr>
              <w:spacing w:before="60"/>
              <w:rPr>
                <w:rFonts w:cs="Segoe UI"/>
                <w:iCs w:val="0"/>
                <w:sz w:val="18"/>
                <w:szCs w:val="14"/>
                <w:lang w:val="en-US"/>
              </w:rPr>
            </w:pPr>
            <w:r w:rsidRPr="00B637DC">
              <w:rPr>
                <w:rFonts w:cs="Segoe UI"/>
                <w:iCs w:val="0"/>
                <w:sz w:val="18"/>
                <w:szCs w:val="14"/>
                <w:lang w:val="en-US"/>
              </w:rPr>
              <w:t xml:space="preserve">Final note: </w:t>
            </w:r>
          </w:p>
          <w:p w14:paraId="31E137F7" w14:textId="77777777" w:rsidR="00F26E61" w:rsidRPr="00B637DC" w:rsidRDefault="00F26E61" w:rsidP="00407A8E">
            <w:pPr>
              <w:spacing w:before="60"/>
              <w:rPr>
                <w:rFonts w:eastAsia="Segoe UI" w:cs="Segoe UI"/>
                <w:b/>
                <w:bCs/>
                <w:iCs w:val="0"/>
                <w:sz w:val="18"/>
                <w:szCs w:val="14"/>
              </w:rPr>
            </w:pPr>
            <w:r w:rsidRPr="00B637DC">
              <w:rPr>
                <w:rFonts w:eastAsia="Segoe UI" w:cs="Segoe UI"/>
                <w:iCs w:val="0"/>
                <w:sz w:val="18"/>
                <w:szCs w:val="14"/>
              </w:rPr>
              <w:t>The effectiveness of periodic review must be assessed in conjunction with other proposed reductions in systematic notified body oversight, including surveillance audits, technical documentation sampling and PSUR review.</w:t>
            </w:r>
          </w:p>
          <w:p w14:paraId="282CBE1F" w14:textId="77777777" w:rsidR="00F26E61" w:rsidRPr="00F97146" w:rsidRDefault="00F26E61" w:rsidP="00407A8E">
            <w:pPr>
              <w:spacing w:before="60"/>
              <w:rPr>
                <w:rFonts w:eastAsia="Segoe UI" w:cs="Segoe UI"/>
                <w:b/>
                <w:bCs/>
                <w:iCs w:val="0"/>
                <w:sz w:val="18"/>
                <w:szCs w:val="14"/>
              </w:rPr>
            </w:pPr>
          </w:p>
        </w:tc>
        <w:tc>
          <w:tcPr>
            <w:tcW w:w="5528" w:type="dxa"/>
            <w:tcBorders>
              <w:top w:val="single" w:sz="4" w:space="0" w:color="auto"/>
              <w:left w:val="single" w:sz="4" w:space="0" w:color="auto"/>
              <w:bottom w:val="single" w:sz="4" w:space="0" w:color="auto"/>
              <w:right w:val="single" w:sz="4" w:space="0" w:color="auto"/>
            </w:tcBorders>
          </w:tcPr>
          <w:p w14:paraId="5786785D" w14:textId="77777777" w:rsidR="00F26E61" w:rsidRPr="00F97146" w:rsidRDefault="00F26E61" w:rsidP="00407A8E">
            <w:pPr>
              <w:pStyle w:val="ISOSecretObservations"/>
              <w:spacing w:before="60"/>
              <w:rPr>
                <w:rFonts w:ascii="Aptos" w:hAnsi="Aptos" w:cs="Segoe UI"/>
                <w:sz w:val="18"/>
                <w:szCs w:val="14"/>
                <w:lang w:val="en-US"/>
              </w:rPr>
            </w:pPr>
            <w:r w:rsidRPr="00F97146">
              <w:rPr>
                <w:rFonts w:ascii="Aptos" w:hAnsi="Aptos" w:cs="Segoe UI"/>
                <w:sz w:val="18"/>
                <w:szCs w:val="14"/>
                <w:lang w:val="en-US"/>
              </w:rPr>
              <w:lastRenderedPageBreak/>
              <w:t>Team NB proposed text:</w:t>
            </w:r>
          </w:p>
          <w:p w14:paraId="5CC45E1A" w14:textId="77777777" w:rsidR="00F26E61" w:rsidRPr="00F97146" w:rsidRDefault="00F26E61" w:rsidP="00407A8E">
            <w:pPr>
              <w:pStyle w:val="ISOSecretObservations"/>
              <w:spacing w:before="60"/>
              <w:rPr>
                <w:rFonts w:ascii="Aptos" w:hAnsi="Aptos" w:cs="Segoe UI"/>
                <w:i/>
                <w:iCs/>
                <w:sz w:val="18"/>
                <w:szCs w:val="14"/>
                <w:lang w:val="en-US"/>
              </w:rPr>
            </w:pPr>
            <w:r w:rsidRPr="00F97146">
              <w:rPr>
                <w:rFonts w:ascii="Aptos" w:hAnsi="Aptos" w:cs="Segoe UI"/>
                <w:sz w:val="18"/>
                <w:szCs w:val="14"/>
                <w:lang w:val="en-US"/>
              </w:rPr>
              <w:t>“</w:t>
            </w:r>
            <w:r w:rsidRPr="00F97146">
              <w:rPr>
                <w:rFonts w:ascii="Aptos" w:hAnsi="Aptos" w:cs="Segoe UI"/>
                <w:i/>
                <w:iCs/>
                <w:sz w:val="18"/>
                <w:szCs w:val="14"/>
                <w:lang w:val="en-US"/>
              </w:rPr>
              <w:t>4.11. Periodic reviews and extension of a certificate’s period of validity’</w:t>
            </w:r>
          </w:p>
          <w:p w14:paraId="745AEEDF" w14:textId="77777777" w:rsidR="00F26E61" w:rsidRPr="00F97146" w:rsidRDefault="00F26E61" w:rsidP="00407A8E">
            <w:pPr>
              <w:pStyle w:val="ISOSecretObservations"/>
              <w:spacing w:before="60"/>
              <w:rPr>
                <w:rFonts w:ascii="Aptos" w:hAnsi="Aptos" w:cs="Segoe UI"/>
                <w:i/>
                <w:iCs/>
                <w:sz w:val="18"/>
                <w:szCs w:val="14"/>
                <w:lang w:val="en-US"/>
              </w:rPr>
            </w:pPr>
            <w:r w:rsidRPr="00F97146">
              <w:rPr>
                <w:rFonts w:ascii="Aptos" w:hAnsi="Aptos" w:cs="Segoe UI"/>
                <w:i/>
                <w:iCs/>
                <w:sz w:val="18"/>
                <w:szCs w:val="14"/>
                <w:lang w:val="en-US"/>
              </w:rPr>
              <w:t xml:space="preserve">The notified body shall have documented procedures in place relating to periodic reviews </w:t>
            </w:r>
            <w:r w:rsidRPr="00F97146">
              <w:rPr>
                <w:rFonts w:ascii="Aptos" w:hAnsi="Aptos" w:cs="Segoe UI"/>
                <w:b/>
                <w:bCs/>
                <w:i/>
                <w:iCs/>
                <w:sz w:val="18"/>
                <w:szCs w:val="14"/>
                <w:lang w:val="en-US"/>
              </w:rPr>
              <w:t>latest every three years</w:t>
            </w:r>
            <w:r w:rsidRPr="00F97146">
              <w:rPr>
                <w:rFonts w:ascii="Aptos" w:hAnsi="Aptos" w:cs="Segoe UI"/>
                <w:i/>
                <w:iCs/>
                <w:sz w:val="18"/>
                <w:szCs w:val="14"/>
                <w:lang w:val="en-US"/>
              </w:rPr>
              <w:t xml:space="preserve"> after the </w:t>
            </w:r>
            <w:r w:rsidRPr="00F97146">
              <w:rPr>
                <w:rFonts w:ascii="Aptos" w:hAnsi="Aptos" w:cs="Segoe UI"/>
                <w:b/>
                <w:bCs/>
                <w:i/>
                <w:iCs/>
                <w:sz w:val="18"/>
                <w:szCs w:val="14"/>
                <w:lang w:val="en-US"/>
              </w:rPr>
              <w:t>approval of</w:t>
            </w:r>
            <w:r w:rsidRPr="00F97146">
              <w:rPr>
                <w:rFonts w:ascii="Aptos" w:hAnsi="Aptos" w:cs="Segoe UI"/>
                <w:i/>
                <w:iCs/>
                <w:sz w:val="18"/>
                <w:szCs w:val="14"/>
                <w:lang w:val="en-US"/>
              </w:rPr>
              <w:t xml:space="preserve"> quality management systems or EU technical documentation assessment certificates or EU type-examination certificates.</w:t>
            </w:r>
          </w:p>
          <w:p w14:paraId="5F8AE2A3" w14:textId="77777777" w:rsidR="00F26E61" w:rsidRPr="00F97146" w:rsidRDefault="00F26E61" w:rsidP="00407A8E">
            <w:pPr>
              <w:pStyle w:val="ISOSecretObservations"/>
              <w:spacing w:before="0"/>
              <w:rPr>
                <w:rFonts w:ascii="Aptos" w:hAnsi="Aptos" w:cs="Segoe UI"/>
                <w:i/>
                <w:iCs/>
                <w:sz w:val="18"/>
                <w:szCs w:val="14"/>
                <w:lang w:val="en-US"/>
              </w:rPr>
            </w:pPr>
            <w:r w:rsidRPr="00F97146">
              <w:rPr>
                <w:rFonts w:ascii="Aptos" w:hAnsi="Aptos" w:cs="Segoe UI"/>
                <w:i/>
                <w:iCs/>
                <w:sz w:val="18"/>
                <w:szCs w:val="14"/>
                <w:lang w:val="en-US"/>
              </w:rPr>
              <w:t xml:space="preserve">Those procedures shall require the manufacturer in question to submit at predefined intervals a summary of changes and of relevant data gathered by the manufacturer’s post-market surveillance system, </w:t>
            </w:r>
            <w:r w:rsidRPr="00F97146">
              <w:rPr>
                <w:rFonts w:ascii="Aptos" w:hAnsi="Aptos" w:cs="Segoe UI"/>
                <w:b/>
                <w:bCs/>
                <w:i/>
                <w:iCs/>
                <w:sz w:val="18"/>
                <w:szCs w:val="14"/>
              </w:rPr>
              <w:t>including the consideration of evolving medical, scientific and technical knowledge or changes in regulatory requirements</w:t>
            </w:r>
            <w:r w:rsidRPr="00F97146">
              <w:rPr>
                <w:rFonts w:ascii="Aptos" w:hAnsi="Aptos" w:cs="Segoe UI"/>
                <w:i/>
                <w:iCs/>
                <w:sz w:val="18"/>
                <w:szCs w:val="14"/>
                <w:lang w:val="en-US"/>
              </w:rPr>
              <w:t xml:space="preserve">. The notified body shall assess such information and shall pay </w:t>
            </w:r>
            <w:r w:rsidRPr="00F97146">
              <w:rPr>
                <w:rFonts w:ascii="Aptos" w:hAnsi="Aptos" w:cs="Segoe UI"/>
                <w:i/>
                <w:iCs/>
                <w:sz w:val="18"/>
                <w:szCs w:val="14"/>
                <w:lang w:val="en-US"/>
              </w:rPr>
              <w:lastRenderedPageBreak/>
              <w:t>particular attention to clinical data from post-market surveillance and PMCF/PMPF activities undertaken since the previous certification or periodic review, including appropriate updates to manufacturers' clinical evaluation reports, without repeating assessments already conducted.</w:t>
            </w:r>
          </w:p>
          <w:p w14:paraId="6E256A58" w14:textId="77777777" w:rsidR="00F26E61" w:rsidRPr="00F97146" w:rsidRDefault="00F26E61" w:rsidP="00407A8E">
            <w:pPr>
              <w:pStyle w:val="ISOSecretObservations"/>
              <w:spacing w:before="0"/>
              <w:rPr>
                <w:rFonts w:ascii="Aptos" w:hAnsi="Aptos" w:cs="Segoe UI"/>
                <w:i/>
                <w:iCs/>
                <w:sz w:val="18"/>
                <w:szCs w:val="14"/>
                <w:lang w:val="en-US"/>
              </w:rPr>
            </w:pPr>
          </w:p>
          <w:p w14:paraId="2C6D97B9" w14:textId="77777777" w:rsidR="00F26E61" w:rsidRPr="00F97146" w:rsidRDefault="00F26E61" w:rsidP="00407A8E">
            <w:pPr>
              <w:pStyle w:val="ISOSecretObservations"/>
              <w:spacing w:before="0" w:line="240" w:lineRule="auto"/>
              <w:rPr>
                <w:rFonts w:ascii="Aptos" w:hAnsi="Aptos" w:cs="Segoe UI"/>
                <w:i/>
                <w:iCs/>
                <w:sz w:val="18"/>
                <w:szCs w:val="14"/>
              </w:rPr>
            </w:pPr>
            <w:r w:rsidRPr="00F97146">
              <w:rPr>
                <w:rFonts w:ascii="Aptos" w:hAnsi="Aptos" w:cs="Segoe UI"/>
                <w:i/>
                <w:iCs/>
                <w:sz w:val="18"/>
                <w:szCs w:val="14"/>
              </w:rPr>
              <w:t>The notified body shall have documented procedures in place relating to the extension of the period of validity of a certificate in cases where it has exceptionally limited the period of validity. Those procedures shall require the manufacturer to submit prior to the expiry of the certificate the data or documentation specified by the notified body to enable it to decide about the extension of the period of validity of the certificate.’;</w:t>
            </w:r>
          </w:p>
          <w:p w14:paraId="03626176" w14:textId="77777777" w:rsidR="00F26E61" w:rsidRPr="00F97146" w:rsidRDefault="00F26E61" w:rsidP="00407A8E">
            <w:pPr>
              <w:spacing w:before="60"/>
              <w:rPr>
                <w:rFonts w:eastAsia="Segoe UI" w:cs="Segoe UI"/>
                <w:b/>
                <w:bCs/>
                <w:iCs w:val="0"/>
                <w:sz w:val="18"/>
                <w:szCs w:val="14"/>
                <w:lang w:val="en-US"/>
              </w:rPr>
            </w:pPr>
            <w:r w:rsidRPr="00F97146">
              <w:rPr>
                <w:rFonts w:eastAsia="Times New Roman" w:cs="Segoe UI"/>
                <w:b/>
                <w:bCs/>
                <w:i/>
                <w:sz w:val="18"/>
                <w:szCs w:val="14"/>
              </w:rPr>
              <w:t>After the periodic review, the Notified Body shall reflect the outcome in the EUDAMED’s Notified Bodies and Certificates module for the specific certificate.”</w:t>
            </w:r>
          </w:p>
        </w:tc>
      </w:tr>
      <w:tr w:rsidR="00F26E61" w:rsidRPr="00F97146" w14:paraId="02010D1F" w14:textId="77777777" w:rsidTr="0022597C">
        <w:tc>
          <w:tcPr>
            <w:tcW w:w="568" w:type="dxa"/>
          </w:tcPr>
          <w:p w14:paraId="221A52AB" w14:textId="77777777" w:rsidR="00F26E61" w:rsidRPr="00F97146" w:rsidRDefault="00F26E61" w:rsidP="00407A8E">
            <w:pPr>
              <w:spacing w:line="276" w:lineRule="auto"/>
              <w:ind w:left="-48" w:firstLine="6"/>
              <w:jc w:val="center"/>
              <w:rPr>
                <w:rFonts w:cs="Segoe UI"/>
                <w:iCs w:val="0"/>
                <w:sz w:val="18"/>
                <w:szCs w:val="14"/>
                <w:lang w:val="de-DE"/>
              </w:rPr>
            </w:pPr>
            <w:r>
              <w:rPr>
                <w:rFonts w:cs="Segoe UI"/>
                <w:iCs w:val="0"/>
                <w:sz w:val="18"/>
                <w:szCs w:val="14"/>
                <w:lang w:val="de-DE"/>
              </w:rPr>
              <w:lastRenderedPageBreak/>
              <w:t>53a</w:t>
            </w:r>
          </w:p>
        </w:tc>
        <w:tc>
          <w:tcPr>
            <w:tcW w:w="1134" w:type="dxa"/>
            <w:tcBorders>
              <w:top w:val="single" w:sz="4" w:space="0" w:color="auto"/>
              <w:left w:val="single" w:sz="4" w:space="0" w:color="auto"/>
              <w:bottom w:val="single" w:sz="4" w:space="0" w:color="auto"/>
              <w:right w:val="single" w:sz="4" w:space="0" w:color="auto"/>
            </w:tcBorders>
          </w:tcPr>
          <w:p w14:paraId="66E21FD8" w14:textId="77777777" w:rsidR="00F26E61" w:rsidRPr="00F97146" w:rsidRDefault="00F26E61" w:rsidP="00407A8E">
            <w:pPr>
              <w:spacing w:line="276" w:lineRule="auto"/>
              <w:ind w:left="-48" w:firstLine="6"/>
              <w:jc w:val="center"/>
              <w:rPr>
                <w:rFonts w:cs="Segoe UI"/>
                <w:iCs w:val="0"/>
                <w:sz w:val="18"/>
                <w:szCs w:val="14"/>
                <w:lang w:val="de-DE"/>
              </w:rPr>
            </w:pPr>
            <w:r w:rsidRPr="00F97146">
              <w:rPr>
                <w:rFonts w:cs="Segoe UI"/>
                <w:iCs w:val="0"/>
                <w:sz w:val="18"/>
                <w:szCs w:val="14"/>
                <w:lang w:val="de-DE"/>
              </w:rPr>
              <w:t>11, 35</w:t>
            </w:r>
          </w:p>
        </w:tc>
        <w:tc>
          <w:tcPr>
            <w:tcW w:w="1114" w:type="dxa"/>
            <w:tcBorders>
              <w:top w:val="single" w:sz="4" w:space="0" w:color="auto"/>
              <w:left w:val="single" w:sz="4" w:space="0" w:color="auto"/>
              <w:bottom w:val="single" w:sz="4" w:space="0" w:color="auto"/>
              <w:right w:val="single" w:sz="4" w:space="0" w:color="auto"/>
            </w:tcBorders>
          </w:tcPr>
          <w:p w14:paraId="0BEC8461" w14:textId="77777777" w:rsidR="00F26E61" w:rsidRPr="00F97146" w:rsidRDefault="00F26E61" w:rsidP="00407A8E">
            <w:pPr>
              <w:spacing w:line="276" w:lineRule="auto"/>
              <w:ind w:left="75"/>
              <w:jc w:val="center"/>
              <w:rPr>
                <w:rFonts w:cs="Segoe UI"/>
                <w:iCs w:val="0"/>
                <w:sz w:val="18"/>
                <w:szCs w:val="14"/>
                <w:lang w:val="de-DE"/>
              </w:rPr>
            </w:pPr>
            <w:r w:rsidRPr="00F97146">
              <w:rPr>
                <w:rFonts w:cs="Segoe UI"/>
                <w:iCs w:val="0"/>
                <w:sz w:val="18"/>
                <w:szCs w:val="14"/>
                <w:lang w:val="de-DE"/>
              </w:rPr>
              <w:t>MDR: Ann I</w:t>
            </w:r>
          </w:p>
          <w:p w14:paraId="0B9F27BA" w14:textId="77777777" w:rsidR="00F26E61" w:rsidRPr="00F97146" w:rsidRDefault="00F26E61" w:rsidP="00407A8E">
            <w:pPr>
              <w:spacing w:line="276" w:lineRule="auto"/>
              <w:ind w:left="75"/>
              <w:jc w:val="center"/>
              <w:rPr>
                <w:rFonts w:cs="Segoe UI"/>
                <w:iCs w:val="0"/>
                <w:sz w:val="18"/>
                <w:szCs w:val="14"/>
                <w:lang w:val="de-DE"/>
              </w:rPr>
            </w:pPr>
            <w:r w:rsidRPr="00F97146">
              <w:rPr>
                <w:rFonts w:cs="Segoe UI"/>
                <w:iCs w:val="0"/>
                <w:sz w:val="18"/>
                <w:szCs w:val="14"/>
                <w:lang w:val="de-DE"/>
              </w:rPr>
              <w:t>IVDR: Ann II</w:t>
            </w:r>
          </w:p>
        </w:tc>
        <w:tc>
          <w:tcPr>
            <w:tcW w:w="1134" w:type="dxa"/>
            <w:tcBorders>
              <w:top w:val="single" w:sz="4" w:space="0" w:color="auto"/>
              <w:left w:val="single" w:sz="4" w:space="0" w:color="auto"/>
              <w:bottom w:val="single" w:sz="4" w:space="0" w:color="auto"/>
              <w:right w:val="single" w:sz="4" w:space="0" w:color="auto"/>
            </w:tcBorders>
          </w:tcPr>
          <w:p w14:paraId="73C3BDAB" w14:textId="77777777" w:rsidR="00F26E61" w:rsidRPr="00F97146" w:rsidRDefault="00F26E61" w:rsidP="00407A8E">
            <w:pPr>
              <w:spacing w:before="60"/>
              <w:jc w:val="center"/>
              <w:rPr>
                <w:rFonts w:eastAsia="Segoe UI" w:cs="Segoe UI"/>
                <w:iCs w:val="0"/>
                <w:sz w:val="18"/>
                <w:szCs w:val="14"/>
              </w:rPr>
            </w:pPr>
            <w:r w:rsidRPr="00F97146">
              <w:rPr>
                <w:rFonts w:eastAsia="Segoe UI" w:cs="Segoe UI"/>
                <w:iCs w:val="0"/>
                <w:sz w:val="18"/>
                <w:szCs w:val="14"/>
              </w:rPr>
              <w:t>5</w:t>
            </w:r>
          </w:p>
        </w:tc>
        <w:tc>
          <w:tcPr>
            <w:tcW w:w="1134" w:type="dxa"/>
            <w:tcBorders>
              <w:top w:val="single" w:sz="4" w:space="0" w:color="auto"/>
              <w:left w:val="single" w:sz="4" w:space="0" w:color="auto"/>
              <w:bottom w:val="single" w:sz="4" w:space="0" w:color="auto"/>
              <w:right w:val="single" w:sz="4" w:space="0" w:color="auto"/>
            </w:tcBorders>
          </w:tcPr>
          <w:p w14:paraId="375044AE" w14:textId="77777777" w:rsidR="00F26E61" w:rsidRPr="00F97146" w:rsidRDefault="00F26E61" w:rsidP="00407A8E">
            <w:pPr>
              <w:spacing w:before="60"/>
              <w:jc w:val="center"/>
              <w:rPr>
                <w:rFonts w:cs="Segoe UI"/>
                <w:iCs w:val="0"/>
                <w:sz w:val="18"/>
                <w:szCs w:val="14"/>
                <w:lang w:val="en-US"/>
              </w:rPr>
            </w:pPr>
            <w:r w:rsidRPr="00F97146">
              <w:rPr>
                <w:rFonts w:cs="Segoe UI"/>
                <w:iCs w:val="0"/>
                <w:sz w:val="18"/>
                <w:szCs w:val="14"/>
                <w:lang w:val="en-US"/>
              </w:rPr>
              <w:t>MDR: z</w:t>
            </w:r>
          </w:p>
          <w:p w14:paraId="1D678EEB" w14:textId="77777777" w:rsidR="00F26E61" w:rsidRPr="00F97146" w:rsidRDefault="00F26E61" w:rsidP="00407A8E">
            <w:pPr>
              <w:spacing w:before="60"/>
              <w:jc w:val="center"/>
              <w:rPr>
                <w:rFonts w:cs="Segoe UI"/>
                <w:iCs w:val="0"/>
                <w:sz w:val="18"/>
                <w:szCs w:val="14"/>
                <w:lang w:val="en-US"/>
              </w:rPr>
            </w:pPr>
            <w:r w:rsidRPr="00F97146">
              <w:rPr>
                <w:rFonts w:cs="Segoe UI"/>
                <w:iCs w:val="0"/>
                <w:sz w:val="18"/>
                <w:szCs w:val="14"/>
                <w:lang w:val="en-US"/>
              </w:rPr>
              <w:t>IVDR: y</w:t>
            </w:r>
          </w:p>
        </w:tc>
        <w:tc>
          <w:tcPr>
            <w:tcW w:w="4840" w:type="dxa"/>
            <w:tcBorders>
              <w:top w:val="single" w:sz="4" w:space="0" w:color="auto"/>
              <w:left w:val="single" w:sz="4" w:space="0" w:color="auto"/>
              <w:bottom w:val="single" w:sz="4" w:space="0" w:color="auto"/>
              <w:right w:val="single" w:sz="4" w:space="0" w:color="auto"/>
            </w:tcBorders>
          </w:tcPr>
          <w:p w14:paraId="28E2A0B1" w14:textId="77777777" w:rsidR="00F26E61" w:rsidRDefault="00F26E61" w:rsidP="00407A8E">
            <w:pPr>
              <w:pStyle w:val="ISOChange"/>
              <w:spacing w:before="0" w:line="240" w:lineRule="auto"/>
              <w:rPr>
                <w:rFonts w:ascii="Aptos" w:hAnsi="Aptos" w:cs="Segoe UI"/>
                <w:sz w:val="18"/>
                <w:szCs w:val="14"/>
              </w:rPr>
            </w:pPr>
            <w:r w:rsidRPr="00C80CF3">
              <w:rPr>
                <w:rFonts w:ascii="Aptos" w:hAnsi="Aptos" w:cs="Segoe UI"/>
                <w:sz w:val="18"/>
                <w:szCs w:val="14"/>
              </w:rPr>
              <w:t>Section 3.3 of this document outlines a fundamental concern with the proposed replacement of re</w:t>
            </w:r>
            <w:r w:rsidRPr="00C80CF3">
              <w:rPr>
                <w:rFonts w:ascii="Aptos" w:hAnsi="Aptos" w:cs="Segoe UI"/>
                <w:sz w:val="18"/>
                <w:szCs w:val="14"/>
              </w:rPr>
              <w:noBreakHyphen/>
              <w:t>certification by periodic review:</w:t>
            </w:r>
            <w:r>
              <w:rPr>
                <w:rFonts w:ascii="Aptos" w:hAnsi="Aptos" w:cs="Segoe UI"/>
                <w:sz w:val="18"/>
                <w:szCs w:val="14"/>
              </w:rPr>
              <w:t xml:space="preserve"> </w:t>
            </w:r>
            <w:r w:rsidRPr="00C80CF3">
              <w:rPr>
                <w:rFonts w:ascii="Aptos" w:hAnsi="Aptos" w:cs="Segoe UI"/>
                <w:b/>
                <w:bCs/>
                <w:sz w:val="18"/>
                <w:szCs w:val="14"/>
              </w:rPr>
              <w:t>efficiency gains must not be achieved by uniformly lowering regulatory scrutiny</w:t>
            </w:r>
            <w:r w:rsidRPr="00C80CF3">
              <w:rPr>
                <w:rFonts w:ascii="Aptos" w:hAnsi="Aptos" w:cs="Segoe UI"/>
                <w:sz w:val="18"/>
                <w:szCs w:val="14"/>
              </w:rPr>
              <w:t xml:space="preserve">, but rather by </w:t>
            </w:r>
            <w:r w:rsidRPr="00C80CF3">
              <w:rPr>
                <w:rFonts w:ascii="Aptos" w:hAnsi="Aptos" w:cs="Segoe UI"/>
                <w:b/>
                <w:bCs/>
                <w:sz w:val="18"/>
                <w:szCs w:val="14"/>
              </w:rPr>
              <w:t>better targeting oversight based on demonstrated performance and lifecycle risk</w:t>
            </w:r>
            <w:r w:rsidRPr="00C80CF3">
              <w:rPr>
                <w:rFonts w:ascii="Aptos" w:hAnsi="Aptos" w:cs="Segoe UI"/>
                <w:sz w:val="18"/>
                <w:szCs w:val="14"/>
              </w:rPr>
              <w:t>.</w:t>
            </w:r>
          </w:p>
          <w:p w14:paraId="193B7F8B" w14:textId="77777777" w:rsidR="00F26E61" w:rsidRPr="00C80CF3" w:rsidRDefault="00F26E61" w:rsidP="00407A8E">
            <w:pPr>
              <w:pStyle w:val="ISOChange"/>
              <w:spacing w:before="0" w:line="240" w:lineRule="auto"/>
              <w:rPr>
                <w:rFonts w:ascii="Aptos" w:hAnsi="Aptos" w:cs="Segoe UI"/>
                <w:sz w:val="18"/>
                <w:szCs w:val="14"/>
              </w:rPr>
            </w:pPr>
            <w:r w:rsidRPr="00C80CF3">
              <w:rPr>
                <w:rFonts w:ascii="Aptos" w:hAnsi="Aptos" w:cs="Segoe UI"/>
                <w:sz w:val="18"/>
                <w:szCs w:val="14"/>
              </w:rPr>
              <w:t>Experience from notified bodies shows that device</w:t>
            </w:r>
            <w:r w:rsidRPr="00C80CF3">
              <w:rPr>
                <w:rFonts w:ascii="Aptos" w:hAnsi="Aptos" w:cs="Segoe UI"/>
                <w:sz w:val="18"/>
                <w:szCs w:val="14"/>
              </w:rPr>
              <w:noBreakHyphen/>
              <w:t xml:space="preserve">related risks are </w:t>
            </w:r>
            <w:r w:rsidRPr="00C80CF3">
              <w:rPr>
                <w:rFonts w:ascii="Aptos" w:hAnsi="Aptos" w:cs="Segoe UI"/>
                <w:b/>
                <w:bCs/>
                <w:sz w:val="18"/>
                <w:szCs w:val="14"/>
              </w:rPr>
              <w:t>not constant over time</w:t>
            </w:r>
            <w:r w:rsidRPr="00C80CF3">
              <w:rPr>
                <w:rFonts w:ascii="Aptos" w:hAnsi="Aptos" w:cs="Segoe UI"/>
                <w:sz w:val="18"/>
                <w:szCs w:val="14"/>
              </w:rPr>
              <w:t>:</w:t>
            </w:r>
          </w:p>
          <w:p w14:paraId="1A98B7CA" w14:textId="77777777" w:rsidR="00F26E61" w:rsidRPr="00C80CF3" w:rsidRDefault="00F26E61" w:rsidP="00F26E61">
            <w:pPr>
              <w:pStyle w:val="ISOChange"/>
              <w:numPr>
                <w:ilvl w:val="0"/>
                <w:numId w:val="100"/>
              </w:numPr>
              <w:spacing w:before="0" w:line="240" w:lineRule="auto"/>
              <w:rPr>
                <w:rFonts w:ascii="Aptos" w:hAnsi="Aptos" w:cs="Segoe UI"/>
                <w:sz w:val="18"/>
                <w:szCs w:val="14"/>
              </w:rPr>
            </w:pPr>
            <w:r w:rsidRPr="00C80CF3">
              <w:rPr>
                <w:rFonts w:ascii="Aptos" w:hAnsi="Aptos" w:cs="Segoe UI"/>
                <w:sz w:val="18"/>
                <w:szCs w:val="14"/>
              </w:rPr>
              <w:lastRenderedPageBreak/>
              <w:t xml:space="preserve">Safety and performance issues most frequently occur </w:t>
            </w:r>
            <w:r w:rsidRPr="00C80CF3">
              <w:rPr>
                <w:rFonts w:ascii="Aptos" w:hAnsi="Aptos" w:cs="Segoe UI"/>
                <w:b/>
                <w:bCs/>
                <w:sz w:val="18"/>
                <w:szCs w:val="14"/>
              </w:rPr>
              <w:t>shortly after market entry</w:t>
            </w:r>
            <w:r w:rsidRPr="00C80CF3">
              <w:rPr>
                <w:rFonts w:ascii="Aptos" w:hAnsi="Aptos" w:cs="Segoe UI"/>
                <w:sz w:val="18"/>
                <w:szCs w:val="14"/>
              </w:rPr>
              <w:t>, when real</w:t>
            </w:r>
            <w:r w:rsidRPr="00C80CF3">
              <w:rPr>
                <w:rFonts w:ascii="Aptos" w:hAnsi="Aptos" w:cs="Segoe UI"/>
                <w:sz w:val="18"/>
                <w:szCs w:val="14"/>
              </w:rPr>
              <w:noBreakHyphen/>
              <w:t xml:space="preserve">world use </w:t>
            </w:r>
            <w:r>
              <w:rPr>
                <w:rFonts w:ascii="Aptos" w:hAnsi="Aptos" w:cs="Segoe UI"/>
                <w:sz w:val="18"/>
                <w:szCs w:val="14"/>
              </w:rPr>
              <w:t xml:space="preserve">starts </w:t>
            </w:r>
            <w:r w:rsidRPr="00C80CF3">
              <w:rPr>
                <w:rFonts w:ascii="Aptos" w:hAnsi="Aptos" w:cs="Segoe UI"/>
                <w:sz w:val="18"/>
                <w:szCs w:val="14"/>
              </w:rPr>
              <w:t>challeng</w:t>
            </w:r>
            <w:r>
              <w:rPr>
                <w:rFonts w:ascii="Aptos" w:hAnsi="Aptos" w:cs="Segoe UI"/>
                <w:sz w:val="18"/>
                <w:szCs w:val="14"/>
              </w:rPr>
              <w:t xml:space="preserve">ing </w:t>
            </w:r>
            <w:r w:rsidRPr="00C80CF3">
              <w:rPr>
                <w:rFonts w:ascii="Aptos" w:hAnsi="Aptos" w:cs="Segoe UI"/>
                <w:sz w:val="18"/>
                <w:szCs w:val="14"/>
              </w:rPr>
              <w:t>design assumptions and clinical expectations.</w:t>
            </w:r>
          </w:p>
          <w:p w14:paraId="6FCF6E03" w14:textId="77777777" w:rsidR="00F26E61" w:rsidRPr="00C80CF3" w:rsidRDefault="00F26E61" w:rsidP="00F26E61">
            <w:pPr>
              <w:pStyle w:val="ISOChange"/>
              <w:numPr>
                <w:ilvl w:val="0"/>
                <w:numId w:val="100"/>
              </w:numPr>
              <w:spacing w:before="0" w:line="240" w:lineRule="auto"/>
              <w:rPr>
                <w:rFonts w:ascii="Aptos" w:hAnsi="Aptos" w:cs="Segoe UI"/>
                <w:sz w:val="18"/>
                <w:szCs w:val="14"/>
              </w:rPr>
            </w:pPr>
            <w:r w:rsidRPr="00C80CF3">
              <w:rPr>
                <w:rFonts w:ascii="Aptos" w:hAnsi="Aptos" w:cs="Segoe UI"/>
                <w:sz w:val="18"/>
                <w:szCs w:val="14"/>
              </w:rPr>
              <w:t>After a period of stable, compliant performance, regulatory effort can be applied more proportionately without reducing patient safety.</w:t>
            </w:r>
          </w:p>
          <w:p w14:paraId="03BC5AAF" w14:textId="77777777" w:rsidR="00F26E61" w:rsidRPr="00C80CF3" w:rsidRDefault="00F26E61" w:rsidP="00F26E61">
            <w:pPr>
              <w:pStyle w:val="ISOChange"/>
              <w:numPr>
                <w:ilvl w:val="0"/>
                <w:numId w:val="100"/>
              </w:numPr>
              <w:spacing w:before="0" w:line="240" w:lineRule="auto"/>
              <w:rPr>
                <w:rFonts w:ascii="Aptos" w:hAnsi="Aptos" w:cs="Segoe UI"/>
                <w:sz w:val="18"/>
                <w:szCs w:val="14"/>
              </w:rPr>
            </w:pPr>
            <w:r w:rsidRPr="00C80CF3">
              <w:rPr>
                <w:rFonts w:ascii="Aptos" w:hAnsi="Aptos" w:cs="Segoe UI"/>
                <w:sz w:val="18"/>
                <w:szCs w:val="14"/>
              </w:rPr>
              <w:t xml:space="preserve">Conversely, risks tend to </w:t>
            </w:r>
            <w:r w:rsidRPr="00C80CF3">
              <w:rPr>
                <w:rFonts w:ascii="Aptos" w:hAnsi="Aptos" w:cs="Segoe UI"/>
                <w:b/>
                <w:bCs/>
                <w:sz w:val="18"/>
                <w:szCs w:val="14"/>
              </w:rPr>
              <w:t>increase again at later lifecycle stages</w:t>
            </w:r>
            <w:r w:rsidRPr="00C80CF3">
              <w:rPr>
                <w:rFonts w:ascii="Aptos" w:hAnsi="Aptos" w:cs="Segoe UI"/>
                <w:sz w:val="18"/>
                <w:szCs w:val="14"/>
              </w:rPr>
              <w:t>, due to outdated standards, evolving clinical practice, accumulated changes, or unnoticed design or cybersecurity drift.</w:t>
            </w:r>
          </w:p>
          <w:p w14:paraId="6BEFAD22" w14:textId="77777777" w:rsidR="00F26E61" w:rsidRPr="00C80CF3" w:rsidRDefault="00F26E61" w:rsidP="00407A8E">
            <w:pPr>
              <w:rPr>
                <w:rFonts w:cs="Segoe UI"/>
                <w:sz w:val="18"/>
                <w:szCs w:val="14"/>
              </w:rPr>
            </w:pPr>
            <w:r w:rsidRPr="00C80CF3">
              <w:rPr>
                <w:rFonts w:cs="Segoe UI"/>
                <w:sz w:val="18"/>
                <w:szCs w:val="14"/>
              </w:rPr>
              <w:t>The current formulation of Annex VII, point 4.11 focuses mainly on review of changes and post</w:t>
            </w:r>
            <w:r w:rsidRPr="00C80CF3">
              <w:rPr>
                <w:rFonts w:cs="Segoe UI"/>
                <w:sz w:val="18"/>
                <w:szCs w:val="14"/>
              </w:rPr>
              <w:noBreakHyphen/>
              <w:t>market data, but does not sufficiently:</w:t>
            </w:r>
          </w:p>
          <w:p w14:paraId="64D1EF14" w14:textId="77777777" w:rsidR="00F26E61" w:rsidRDefault="00F26E61" w:rsidP="00F26E61">
            <w:pPr>
              <w:pStyle w:val="ISOChange"/>
              <w:numPr>
                <w:ilvl w:val="0"/>
                <w:numId w:val="101"/>
              </w:numPr>
              <w:spacing w:before="0" w:line="240" w:lineRule="auto"/>
              <w:rPr>
                <w:rFonts w:ascii="Aptos" w:hAnsi="Aptos" w:cs="Segoe UI"/>
                <w:sz w:val="18"/>
                <w:szCs w:val="14"/>
              </w:rPr>
            </w:pPr>
            <w:r w:rsidRPr="00C80CF3">
              <w:rPr>
                <w:rFonts w:ascii="Aptos" w:hAnsi="Aptos" w:cs="Segoe UI"/>
                <w:sz w:val="18"/>
                <w:szCs w:val="14"/>
              </w:rPr>
              <w:t>distinguish between these different lifecycle phases, or</w:t>
            </w:r>
          </w:p>
          <w:p w14:paraId="64CDCAAC" w14:textId="77777777" w:rsidR="00F26E61" w:rsidRPr="0035686F" w:rsidRDefault="00F26E61" w:rsidP="00F26E61">
            <w:pPr>
              <w:pStyle w:val="ISOChange"/>
              <w:numPr>
                <w:ilvl w:val="0"/>
                <w:numId w:val="101"/>
              </w:numPr>
              <w:spacing w:before="0" w:line="240" w:lineRule="auto"/>
              <w:rPr>
                <w:rFonts w:ascii="Aptos" w:hAnsi="Aptos" w:cs="Segoe UI"/>
                <w:sz w:val="18"/>
                <w:szCs w:val="14"/>
              </w:rPr>
            </w:pPr>
            <w:r w:rsidRPr="0035686F">
              <w:rPr>
                <w:rFonts w:ascii="Aptos" w:hAnsi="Aptos" w:cs="Segoe UI"/>
                <w:sz w:val="18"/>
                <w:szCs w:val="14"/>
              </w:rPr>
              <w:t xml:space="preserve">link regulatory intensity to </w:t>
            </w:r>
            <w:r w:rsidRPr="0035686F">
              <w:rPr>
                <w:rFonts w:ascii="Aptos" w:hAnsi="Aptos" w:cs="Segoe UI"/>
                <w:b/>
                <w:bCs/>
                <w:sz w:val="18"/>
                <w:szCs w:val="14"/>
              </w:rPr>
              <w:t>demonstrated compliance quality over time</w:t>
            </w:r>
            <w:r w:rsidRPr="0035686F">
              <w:rPr>
                <w:rFonts w:ascii="Aptos" w:hAnsi="Aptos" w:cs="Segoe UI"/>
                <w:sz w:val="18"/>
                <w:szCs w:val="14"/>
              </w:rPr>
              <w:t>.</w:t>
            </w:r>
          </w:p>
          <w:p w14:paraId="45E524B7" w14:textId="77777777" w:rsidR="00F26E61" w:rsidRPr="00C80CF3" w:rsidRDefault="00F26E61" w:rsidP="00407A8E">
            <w:pPr>
              <w:pStyle w:val="ISOChange"/>
              <w:spacing w:before="0" w:line="240" w:lineRule="auto"/>
              <w:rPr>
                <w:rFonts w:ascii="Aptos" w:hAnsi="Aptos" w:cs="Segoe UI"/>
                <w:sz w:val="18"/>
                <w:szCs w:val="14"/>
              </w:rPr>
            </w:pPr>
            <w:r w:rsidRPr="00C80CF3">
              <w:rPr>
                <w:rFonts w:ascii="Aptos" w:hAnsi="Aptos" w:cs="Segoe UI"/>
                <w:sz w:val="18"/>
                <w:szCs w:val="14"/>
              </w:rPr>
              <w:t>Without such differentiation, the periodic review model risks becoming either:</w:t>
            </w:r>
          </w:p>
          <w:p w14:paraId="02BE6078" w14:textId="77777777" w:rsidR="00F26E61" w:rsidRPr="00C80CF3" w:rsidRDefault="00F26E61" w:rsidP="00F26E61">
            <w:pPr>
              <w:pStyle w:val="ISOChange"/>
              <w:numPr>
                <w:ilvl w:val="0"/>
                <w:numId w:val="102"/>
              </w:numPr>
              <w:spacing w:before="0" w:line="240" w:lineRule="auto"/>
              <w:rPr>
                <w:rFonts w:ascii="Aptos" w:hAnsi="Aptos" w:cs="Segoe UI"/>
                <w:sz w:val="18"/>
                <w:szCs w:val="14"/>
              </w:rPr>
            </w:pPr>
            <w:r w:rsidRPr="00C80CF3">
              <w:rPr>
                <w:rFonts w:ascii="Aptos" w:hAnsi="Aptos" w:cs="Segoe UI"/>
                <w:b/>
                <w:bCs/>
                <w:sz w:val="18"/>
                <w:szCs w:val="14"/>
              </w:rPr>
              <w:t>too light</w:t>
            </w:r>
            <w:r w:rsidRPr="00C80CF3">
              <w:rPr>
                <w:rFonts w:ascii="Aptos" w:hAnsi="Aptos" w:cs="Segoe UI"/>
                <w:sz w:val="18"/>
                <w:szCs w:val="14"/>
              </w:rPr>
              <w:t xml:space="preserve"> in early and late lifecycle phases, or</w:t>
            </w:r>
          </w:p>
          <w:p w14:paraId="5C8782DB" w14:textId="77777777" w:rsidR="00F26E61" w:rsidRPr="00C80CF3" w:rsidRDefault="00F26E61" w:rsidP="00F26E61">
            <w:pPr>
              <w:pStyle w:val="ISOChange"/>
              <w:numPr>
                <w:ilvl w:val="0"/>
                <w:numId w:val="102"/>
              </w:numPr>
              <w:spacing w:before="0" w:line="240" w:lineRule="auto"/>
              <w:rPr>
                <w:rFonts w:ascii="Aptos" w:hAnsi="Aptos" w:cs="Segoe UI"/>
                <w:sz w:val="18"/>
                <w:szCs w:val="14"/>
              </w:rPr>
            </w:pPr>
            <w:r w:rsidRPr="00C80CF3">
              <w:rPr>
                <w:rFonts w:ascii="Aptos" w:hAnsi="Aptos" w:cs="Segoe UI"/>
                <w:b/>
                <w:bCs/>
                <w:sz w:val="18"/>
                <w:szCs w:val="14"/>
              </w:rPr>
              <w:t>administratively repetitive</w:t>
            </w:r>
            <w:r w:rsidRPr="00C80CF3">
              <w:rPr>
                <w:rFonts w:ascii="Aptos" w:hAnsi="Aptos" w:cs="Segoe UI"/>
                <w:sz w:val="18"/>
                <w:szCs w:val="14"/>
              </w:rPr>
              <w:t xml:space="preserve"> without safety benefit for well</w:t>
            </w:r>
            <w:r w:rsidRPr="00C80CF3">
              <w:rPr>
                <w:rFonts w:ascii="Aptos" w:hAnsi="Aptos" w:cs="Segoe UI"/>
                <w:sz w:val="18"/>
                <w:szCs w:val="14"/>
              </w:rPr>
              <w:noBreakHyphen/>
              <w:t>performing devices.</w:t>
            </w:r>
          </w:p>
          <w:p w14:paraId="55B3EC4B" w14:textId="77777777" w:rsidR="00F26E61" w:rsidRPr="00C80CF3" w:rsidRDefault="00F26E61" w:rsidP="00407A8E">
            <w:pPr>
              <w:pStyle w:val="ISOChange"/>
              <w:spacing w:before="0" w:line="240" w:lineRule="auto"/>
              <w:rPr>
                <w:rFonts w:ascii="Aptos" w:hAnsi="Aptos" w:cs="Segoe UI"/>
                <w:sz w:val="18"/>
                <w:szCs w:val="14"/>
              </w:rPr>
            </w:pPr>
            <w:r w:rsidRPr="00C80CF3">
              <w:rPr>
                <w:rFonts w:ascii="Aptos" w:hAnsi="Aptos" w:cs="Segoe UI"/>
                <w:sz w:val="18"/>
                <w:szCs w:val="14"/>
              </w:rPr>
              <w:t>A performance</w:t>
            </w:r>
            <w:r w:rsidRPr="00C80CF3">
              <w:rPr>
                <w:rFonts w:ascii="Aptos" w:hAnsi="Aptos" w:cs="Segoe UI"/>
                <w:sz w:val="18"/>
                <w:szCs w:val="14"/>
              </w:rPr>
              <w:noBreakHyphen/>
              <w:t xml:space="preserve">based periodic review framework is therefore essential to preserve the </w:t>
            </w:r>
            <w:r w:rsidRPr="00C80CF3">
              <w:rPr>
                <w:rFonts w:ascii="Aptos" w:hAnsi="Aptos" w:cs="Segoe UI"/>
                <w:b/>
                <w:bCs/>
                <w:sz w:val="18"/>
                <w:szCs w:val="14"/>
              </w:rPr>
              <w:t>preventive character of the MDR/IVDR</w:t>
            </w:r>
            <w:r w:rsidRPr="00C80CF3">
              <w:rPr>
                <w:rFonts w:ascii="Aptos" w:hAnsi="Aptos" w:cs="Segoe UI"/>
                <w:sz w:val="18"/>
                <w:szCs w:val="14"/>
              </w:rPr>
              <w:t>, while allowing proportionate regulatory relief where objectively justified.</w:t>
            </w:r>
          </w:p>
          <w:p w14:paraId="727CD6D4" w14:textId="77777777" w:rsidR="00F26E61" w:rsidRPr="00C80CF3" w:rsidRDefault="00F26E61" w:rsidP="00407A8E">
            <w:pPr>
              <w:pStyle w:val="ISOChange"/>
              <w:spacing w:before="0" w:line="240" w:lineRule="auto"/>
              <w:rPr>
                <w:rFonts w:ascii="Aptos" w:hAnsi="Aptos" w:cs="Segoe UI"/>
                <w:sz w:val="18"/>
                <w:szCs w:val="14"/>
              </w:rPr>
            </w:pPr>
          </w:p>
        </w:tc>
        <w:tc>
          <w:tcPr>
            <w:tcW w:w="5528" w:type="dxa"/>
            <w:tcBorders>
              <w:top w:val="single" w:sz="4" w:space="0" w:color="auto"/>
              <w:left w:val="single" w:sz="4" w:space="0" w:color="auto"/>
              <w:bottom w:val="single" w:sz="4" w:space="0" w:color="auto"/>
              <w:right w:val="single" w:sz="4" w:space="0" w:color="auto"/>
            </w:tcBorders>
          </w:tcPr>
          <w:p w14:paraId="3A4A7E33" w14:textId="77777777" w:rsidR="00F26E61" w:rsidRDefault="00F26E61" w:rsidP="00407A8E">
            <w:pPr>
              <w:pStyle w:val="ISOSecretObservations"/>
              <w:spacing w:before="60"/>
              <w:rPr>
                <w:rFonts w:ascii="Aptos" w:hAnsi="Aptos" w:cs="Segoe UI"/>
                <w:sz w:val="18"/>
                <w:szCs w:val="14"/>
                <w:lang w:val="en-US"/>
              </w:rPr>
            </w:pPr>
            <w:r w:rsidRPr="00F97146">
              <w:rPr>
                <w:rFonts w:ascii="Aptos" w:hAnsi="Aptos" w:cs="Segoe UI"/>
                <w:sz w:val="18"/>
                <w:szCs w:val="14"/>
                <w:lang w:val="en-US"/>
              </w:rPr>
              <w:lastRenderedPageBreak/>
              <w:t>Team NB proposed text:</w:t>
            </w:r>
          </w:p>
          <w:p w14:paraId="56D835AE" w14:textId="77777777" w:rsidR="00F26E61" w:rsidRPr="00790D2B" w:rsidRDefault="00F26E61" w:rsidP="00407A8E">
            <w:pPr>
              <w:pStyle w:val="ISOSecretObservations"/>
              <w:spacing w:before="60"/>
              <w:rPr>
                <w:rFonts w:ascii="Aptos" w:hAnsi="Aptos" w:cs="Segoe UI"/>
                <w:sz w:val="18"/>
                <w:szCs w:val="14"/>
                <w:lang w:val="en-US"/>
              </w:rPr>
            </w:pPr>
            <w:r w:rsidRPr="00790D2B">
              <w:rPr>
                <w:rFonts w:ascii="Aptos" w:hAnsi="Aptos" w:cs="Segoe UI"/>
                <w:sz w:val="18"/>
                <w:szCs w:val="14"/>
                <w:lang w:val="en-US"/>
              </w:rPr>
              <w:t>Annex</w:t>
            </w:r>
            <w:r w:rsidRPr="00790D2B">
              <w:rPr>
                <w:rFonts w:cs="Arial"/>
                <w:sz w:val="18"/>
                <w:szCs w:val="14"/>
                <w:lang w:val="en-US"/>
              </w:rPr>
              <w:t> </w:t>
            </w:r>
            <w:r w:rsidRPr="00790D2B">
              <w:rPr>
                <w:rFonts w:ascii="Aptos" w:hAnsi="Aptos" w:cs="Segoe UI"/>
                <w:sz w:val="18"/>
                <w:szCs w:val="14"/>
                <w:lang w:val="en-US"/>
              </w:rPr>
              <w:t>VII, point</w:t>
            </w:r>
            <w:r w:rsidRPr="00790D2B">
              <w:rPr>
                <w:rFonts w:cs="Arial"/>
                <w:sz w:val="18"/>
                <w:szCs w:val="14"/>
                <w:lang w:val="en-US"/>
              </w:rPr>
              <w:t> </w:t>
            </w:r>
            <w:r w:rsidRPr="00790D2B">
              <w:rPr>
                <w:rFonts w:ascii="Aptos" w:hAnsi="Aptos" w:cs="Segoe UI"/>
                <w:sz w:val="18"/>
                <w:szCs w:val="14"/>
                <w:lang w:val="en-US"/>
              </w:rPr>
              <w:t>4.11 (additional paragraph)</w:t>
            </w:r>
          </w:p>
          <w:p w14:paraId="3F90352B" w14:textId="77777777" w:rsidR="00F26E61" w:rsidRPr="00790D2B" w:rsidRDefault="00F26E61" w:rsidP="00407A8E">
            <w:pPr>
              <w:pStyle w:val="ISOSecretObservations"/>
              <w:spacing w:before="60"/>
              <w:rPr>
                <w:rFonts w:ascii="Aptos" w:hAnsi="Aptos" w:cs="Segoe UI"/>
                <w:sz w:val="18"/>
                <w:szCs w:val="14"/>
                <w:lang w:val="en-US"/>
              </w:rPr>
            </w:pPr>
            <w:r w:rsidRPr="00790D2B">
              <w:rPr>
                <w:rFonts w:ascii="Aptos" w:hAnsi="Aptos" w:cs="Segoe UI"/>
                <w:sz w:val="18"/>
                <w:szCs w:val="14"/>
                <w:lang w:val="en-US"/>
              </w:rPr>
              <w:t xml:space="preserve">“Periodic review shall be applied in a manner that compensates for any reduction in systematic audits, technical documentation sampling or </w:t>
            </w:r>
            <w:r>
              <w:rPr>
                <w:rFonts w:ascii="Aptos" w:hAnsi="Aptos" w:cs="Segoe UI"/>
                <w:sz w:val="18"/>
                <w:szCs w:val="14"/>
                <w:lang w:val="en-US"/>
              </w:rPr>
              <w:t>other</w:t>
            </w:r>
            <w:r w:rsidRPr="00790D2B">
              <w:rPr>
                <w:rFonts w:ascii="Aptos" w:hAnsi="Aptos" w:cs="Segoe UI"/>
                <w:sz w:val="18"/>
                <w:szCs w:val="14"/>
                <w:lang w:val="en-US"/>
              </w:rPr>
              <w:t xml:space="preserve"> reviews.</w:t>
            </w:r>
          </w:p>
          <w:p w14:paraId="1A548E1C" w14:textId="77777777" w:rsidR="00F26E61" w:rsidRPr="00F97146" w:rsidRDefault="00F26E61" w:rsidP="00407A8E">
            <w:pPr>
              <w:pStyle w:val="ISOSecretObservations"/>
              <w:spacing w:before="60"/>
              <w:rPr>
                <w:rFonts w:ascii="Aptos" w:hAnsi="Aptos" w:cs="Segoe UI"/>
                <w:sz w:val="18"/>
                <w:szCs w:val="14"/>
                <w:lang w:val="en-US"/>
              </w:rPr>
            </w:pPr>
            <w:r w:rsidRPr="00790D2B">
              <w:rPr>
                <w:rFonts w:ascii="Aptos" w:hAnsi="Aptos" w:cs="Segoe UI"/>
                <w:iCs/>
                <w:sz w:val="18"/>
                <w:szCs w:val="14"/>
                <w:lang w:val="en-US"/>
              </w:rPr>
              <w:t>Any adjustment in the level or intensity of notified body oversight shall be performance</w:t>
            </w:r>
            <w:r w:rsidRPr="00790D2B">
              <w:rPr>
                <w:rFonts w:ascii="Cambria Math" w:hAnsi="Cambria Math" w:cs="Cambria Math"/>
                <w:iCs/>
                <w:sz w:val="18"/>
                <w:szCs w:val="14"/>
                <w:lang w:val="en-US"/>
              </w:rPr>
              <w:t>‑</w:t>
            </w:r>
            <w:r w:rsidRPr="00790D2B">
              <w:rPr>
                <w:rFonts w:ascii="Aptos" w:hAnsi="Aptos" w:cs="Segoe UI"/>
                <w:iCs/>
                <w:sz w:val="18"/>
                <w:szCs w:val="14"/>
                <w:lang w:val="en-US"/>
              </w:rPr>
              <w:t>based, justified, documented and reversible where emerging risks or lifecycle</w:t>
            </w:r>
            <w:r w:rsidRPr="00790D2B">
              <w:rPr>
                <w:rFonts w:ascii="Cambria Math" w:hAnsi="Cambria Math" w:cs="Cambria Math"/>
                <w:iCs/>
                <w:sz w:val="18"/>
                <w:szCs w:val="14"/>
                <w:lang w:val="en-US"/>
              </w:rPr>
              <w:t>‑</w:t>
            </w:r>
            <w:r w:rsidRPr="00790D2B">
              <w:rPr>
                <w:rFonts w:ascii="Aptos" w:hAnsi="Aptos" w:cs="Segoe UI"/>
                <w:iCs/>
                <w:sz w:val="18"/>
                <w:szCs w:val="14"/>
                <w:lang w:val="en-US"/>
              </w:rPr>
              <w:t>related concerns are identified.”</w:t>
            </w:r>
          </w:p>
          <w:p w14:paraId="38DC99B2" w14:textId="77777777" w:rsidR="00F26E61" w:rsidRPr="00F97146" w:rsidRDefault="00F26E61" w:rsidP="00407A8E">
            <w:pPr>
              <w:pStyle w:val="ISOSecretObservations"/>
              <w:spacing w:before="0"/>
              <w:rPr>
                <w:rFonts w:ascii="Aptos" w:hAnsi="Aptos" w:cs="Segoe UI"/>
                <w:sz w:val="18"/>
                <w:szCs w:val="14"/>
                <w:lang w:val="en-US"/>
              </w:rPr>
            </w:pPr>
          </w:p>
        </w:tc>
      </w:tr>
      <w:tr w:rsidR="00F26E61" w:rsidRPr="00F97146" w14:paraId="5AF01080" w14:textId="77777777" w:rsidTr="0022597C">
        <w:tc>
          <w:tcPr>
            <w:tcW w:w="568" w:type="dxa"/>
          </w:tcPr>
          <w:p w14:paraId="7D610E5D" w14:textId="77777777" w:rsidR="00F26E61" w:rsidRPr="00F97146" w:rsidRDefault="00F26E61" w:rsidP="00407A8E">
            <w:pPr>
              <w:spacing w:line="276" w:lineRule="auto"/>
              <w:ind w:left="-48" w:firstLine="6"/>
              <w:jc w:val="center"/>
              <w:rPr>
                <w:rFonts w:eastAsia="Segoe UI" w:cs="Segoe UI"/>
                <w:iCs w:val="0"/>
                <w:sz w:val="18"/>
                <w:szCs w:val="14"/>
              </w:rPr>
            </w:pPr>
            <w:r w:rsidRPr="00F97146">
              <w:rPr>
                <w:rFonts w:eastAsia="Segoe UI" w:cs="Segoe UI"/>
                <w:iCs w:val="0"/>
                <w:sz w:val="18"/>
                <w:szCs w:val="14"/>
              </w:rPr>
              <w:t>54</w:t>
            </w:r>
          </w:p>
        </w:tc>
        <w:tc>
          <w:tcPr>
            <w:tcW w:w="1134" w:type="dxa"/>
            <w:tcBorders>
              <w:top w:val="single" w:sz="4" w:space="0" w:color="auto"/>
              <w:left w:val="single" w:sz="4" w:space="0" w:color="auto"/>
              <w:bottom w:val="single" w:sz="4" w:space="0" w:color="auto"/>
              <w:right w:val="single" w:sz="4" w:space="0" w:color="auto"/>
            </w:tcBorders>
          </w:tcPr>
          <w:p w14:paraId="0F70F728" w14:textId="77777777" w:rsidR="00F26E61" w:rsidRPr="00F97146" w:rsidRDefault="00F26E61" w:rsidP="00407A8E">
            <w:pPr>
              <w:spacing w:line="276" w:lineRule="auto"/>
              <w:ind w:left="-48" w:firstLine="6"/>
              <w:jc w:val="center"/>
              <w:rPr>
                <w:rFonts w:cs="Segoe UI"/>
                <w:iCs w:val="0"/>
                <w:sz w:val="18"/>
                <w:szCs w:val="14"/>
                <w:lang w:val="de-DE"/>
              </w:rPr>
            </w:pPr>
            <w:r w:rsidRPr="00F97146">
              <w:rPr>
                <w:rFonts w:eastAsia="Segoe UI" w:cs="Segoe UI"/>
                <w:iCs w:val="0"/>
                <w:sz w:val="18"/>
                <w:szCs w:val="14"/>
              </w:rPr>
              <w:t>12</w:t>
            </w:r>
          </w:p>
        </w:tc>
        <w:tc>
          <w:tcPr>
            <w:tcW w:w="1114" w:type="dxa"/>
            <w:tcBorders>
              <w:top w:val="single" w:sz="4" w:space="0" w:color="auto"/>
              <w:left w:val="single" w:sz="4" w:space="0" w:color="auto"/>
              <w:bottom w:val="single" w:sz="4" w:space="0" w:color="auto"/>
              <w:right w:val="single" w:sz="4" w:space="0" w:color="auto"/>
            </w:tcBorders>
          </w:tcPr>
          <w:p w14:paraId="7BC67D30" w14:textId="77777777" w:rsidR="00F26E61" w:rsidRPr="00F97146" w:rsidRDefault="00F26E61" w:rsidP="00407A8E">
            <w:pPr>
              <w:spacing w:line="276" w:lineRule="auto"/>
              <w:ind w:left="75"/>
              <w:jc w:val="center"/>
              <w:rPr>
                <w:rFonts w:cs="Segoe UI"/>
                <w:iCs w:val="0"/>
                <w:sz w:val="18"/>
                <w:szCs w:val="14"/>
                <w:lang w:val="de-DE"/>
              </w:rPr>
            </w:pPr>
            <w:r w:rsidRPr="00F97146">
              <w:rPr>
                <w:rFonts w:cs="Segoe UI"/>
                <w:iCs w:val="0"/>
                <w:sz w:val="18"/>
                <w:szCs w:val="14"/>
                <w:lang w:val="en-US"/>
              </w:rPr>
              <w:t>Ann I</w:t>
            </w:r>
          </w:p>
        </w:tc>
        <w:tc>
          <w:tcPr>
            <w:tcW w:w="1134" w:type="dxa"/>
            <w:tcBorders>
              <w:top w:val="single" w:sz="4" w:space="0" w:color="auto"/>
              <w:left w:val="single" w:sz="4" w:space="0" w:color="auto"/>
              <w:bottom w:val="single" w:sz="4" w:space="0" w:color="auto"/>
              <w:right w:val="single" w:sz="4" w:space="0" w:color="auto"/>
            </w:tcBorders>
          </w:tcPr>
          <w:p w14:paraId="08BD9B78" w14:textId="77777777" w:rsidR="00F26E61" w:rsidRPr="00F97146" w:rsidRDefault="00F26E61" w:rsidP="00407A8E">
            <w:pPr>
              <w:spacing w:before="60"/>
              <w:jc w:val="center"/>
              <w:rPr>
                <w:rFonts w:eastAsia="Segoe UI" w:cs="Segoe UI"/>
                <w:iCs w:val="0"/>
                <w:sz w:val="18"/>
                <w:szCs w:val="14"/>
              </w:rPr>
            </w:pPr>
            <w:r w:rsidRPr="00F97146">
              <w:rPr>
                <w:rFonts w:cs="Segoe UI"/>
                <w:iCs w:val="0"/>
                <w:sz w:val="18"/>
                <w:szCs w:val="14"/>
                <w:lang w:val="en-US"/>
              </w:rPr>
              <w:t>6</w:t>
            </w:r>
          </w:p>
        </w:tc>
        <w:tc>
          <w:tcPr>
            <w:tcW w:w="1134" w:type="dxa"/>
            <w:tcBorders>
              <w:top w:val="single" w:sz="4" w:space="0" w:color="auto"/>
              <w:left w:val="single" w:sz="4" w:space="0" w:color="auto"/>
              <w:bottom w:val="single" w:sz="4" w:space="0" w:color="auto"/>
              <w:right w:val="single" w:sz="4" w:space="0" w:color="auto"/>
            </w:tcBorders>
          </w:tcPr>
          <w:p w14:paraId="6D01F5FA" w14:textId="77777777" w:rsidR="00F26E61" w:rsidRPr="00F97146" w:rsidRDefault="00F26E61" w:rsidP="00407A8E">
            <w:pPr>
              <w:pStyle w:val="ISOChange"/>
              <w:spacing w:before="60" w:line="240" w:lineRule="auto"/>
              <w:jc w:val="center"/>
              <w:rPr>
                <w:rFonts w:ascii="Aptos" w:hAnsi="Aptos" w:cs="Segoe UI"/>
                <w:sz w:val="18"/>
                <w:szCs w:val="14"/>
                <w:lang w:val="en-US"/>
              </w:rPr>
            </w:pPr>
            <w:proofErr w:type="spellStart"/>
            <w:r w:rsidRPr="00F97146">
              <w:rPr>
                <w:rFonts w:ascii="Aptos" w:hAnsi="Aptos" w:cs="Segoe UI"/>
                <w:sz w:val="18"/>
                <w:szCs w:val="14"/>
                <w:lang w:val="en-US"/>
              </w:rPr>
              <w:t>c,d</w:t>
            </w:r>
            <w:proofErr w:type="spellEnd"/>
          </w:p>
          <w:p w14:paraId="7F46582D" w14:textId="77777777" w:rsidR="00F26E61" w:rsidRPr="00F97146" w:rsidRDefault="00F26E61" w:rsidP="00407A8E">
            <w:pPr>
              <w:spacing w:before="60"/>
              <w:jc w:val="center"/>
              <w:rPr>
                <w:rFonts w:cs="Segoe UI"/>
                <w:iCs w:val="0"/>
                <w:sz w:val="18"/>
                <w:szCs w:val="14"/>
                <w:lang w:val="en-US"/>
              </w:rPr>
            </w:pPr>
          </w:p>
        </w:tc>
        <w:tc>
          <w:tcPr>
            <w:tcW w:w="4840" w:type="dxa"/>
            <w:tcBorders>
              <w:top w:val="single" w:sz="4" w:space="0" w:color="auto"/>
              <w:left w:val="single" w:sz="4" w:space="0" w:color="auto"/>
              <w:bottom w:val="single" w:sz="4" w:space="0" w:color="auto"/>
              <w:right w:val="single" w:sz="4" w:space="0" w:color="auto"/>
            </w:tcBorders>
          </w:tcPr>
          <w:p w14:paraId="48B1A6F7" w14:textId="77777777" w:rsidR="00F26E61" w:rsidRPr="00F97146" w:rsidRDefault="00F26E61" w:rsidP="00407A8E">
            <w:pPr>
              <w:pStyle w:val="ISOChange"/>
              <w:spacing w:before="60" w:line="240" w:lineRule="auto"/>
              <w:rPr>
                <w:rFonts w:ascii="Aptos" w:hAnsi="Aptos" w:cs="Segoe UI"/>
                <w:sz w:val="18"/>
                <w:szCs w:val="14"/>
                <w:lang w:val="en-US"/>
              </w:rPr>
            </w:pPr>
            <w:r w:rsidRPr="00F97146">
              <w:rPr>
                <w:rFonts w:ascii="Aptos" w:hAnsi="Aptos" w:cs="Segoe UI"/>
                <w:sz w:val="18"/>
                <w:szCs w:val="14"/>
                <w:lang w:val="en-US"/>
              </w:rPr>
              <w:t xml:space="preserve">Commission proposal: </w:t>
            </w:r>
          </w:p>
          <w:p w14:paraId="625F2BDE" w14:textId="77777777" w:rsidR="00F26E61" w:rsidRPr="00F97146" w:rsidRDefault="00F26E61" w:rsidP="00407A8E">
            <w:pPr>
              <w:pStyle w:val="ISOChange"/>
              <w:spacing w:before="60" w:line="240" w:lineRule="auto"/>
              <w:rPr>
                <w:rFonts w:ascii="Aptos" w:hAnsi="Aptos" w:cs="Segoe UI"/>
                <w:sz w:val="18"/>
                <w:szCs w:val="14"/>
                <w:lang w:val="en-US"/>
              </w:rPr>
            </w:pPr>
            <w:r w:rsidRPr="00F97146">
              <w:rPr>
                <w:rFonts w:ascii="Aptos" w:hAnsi="Aptos" w:cs="Segoe UI"/>
                <w:sz w:val="18"/>
                <w:szCs w:val="14"/>
                <w:lang w:val="en-US"/>
              </w:rPr>
              <w:t>Rule 6, 2nd indent:</w:t>
            </w:r>
          </w:p>
          <w:p w14:paraId="7822D131" w14:textId="77777777" w:rsidR="00F26E61" w:rsidRPr="00F97146" w:rsidRDefault="00F26E61" w:rsidP="00407A8E">
            <w:pPr>
              <w:pStyle w:val="ISOChange"/>
              <w:spacing w:before="60" w:line="240" w:lineRule="auto"/>
              <w:ind w:left="720"/>
              <w:rPr>
                <w:rFonts w:ascii="Aptos" w:hAnsi="Aptos" w:cs="Segoe UI"/>
                <w:i/>
                <w:iCs/>
                <w:sz w:val="18"/>
                <w:szCs w:val="14"/>
                <w:lang w:val="en-US"/>
              </w:rPr>
            </w:pPr>
            <w:r w:rsidRPr="00F97146">
              <w:rPr>
                <w:rFonts w:ascii="Aptos" w:hAnsi="Aptos" w:cs="Segoe UI"/>
                <w:i/>
                <w:iCs/>
                <w:sz w:val="18"/>
                <w:szCs w:val="14"/>
                <w:lang w:val="en-US"/>
              </w:rPr>
              <w:t>“– are reusable surgical instruments regardless of the body part with which they come into contact,</w:t>
            </w:r>
          </w:p>
          <w:p w14:paraId="6AC03411" w14:textId="77777777" w:rsidR="00F26E61" w:rsidRPr="00F97146" w:rsidRDefault="00F26E61" w:rsidP="00407A8E">
            <w:pPr>
              <w:pStyle w:val="ISOChange"/>
              <w:spacing w:before="60" w:line="240" w:lineRule="auto"/>
              <w:ind w:left="720"/>
              <w:rPr>
                <w:rFonts w:ascii="Aptos" w:hAnsi="Aptos" w:cs="Segoe UI"/>
                <w:i/>
                <w:iCs/>
                <w:sz w:val="18"/>
                <w:szCs w:val="14"/>
                <w:lang w:val="en-US"/>
              </w:rPr>
            </w:pPr>
            <w:r w:rsidRPr="00F97146">
              <w:rPr>
                <w:rFonts w:ascii="Aptos" w:hAnsi="Aptos" w:cs="Segoe UI"/>
                <w:i/>
                <w:iCs/>
                <w:sz w:val="18"/>
                <w:szCs w:val="14"/>
                <w:lang w:val="en-US"/>
              </w:rPr>
              <w:t>in which case they are classified as class I;”</w:t>
            </w:r>
          </w:p>
          <w:p w14:paraId="6A9A6656" w14:textId="77777777" w:rsidR="00F26E61" w:rsidRPr="00F97146" w:rsidRDefault="00F26E61" w:rsidP="00407A8E">
            <w:pPr>
              <w:pStyle w:val="ISOChange"/>
              <w:spacing w:before="60" w:line="240" w:lineRule="auto"/>
              <w:rPr>
                <w:rFonts w:ascii="Aptos" w:hAnsi="Aptos" w:cs="Segoe UI"/>
                <w:sz w:val="18"/>
                <w:szCs w:val="14"/>
                <w:lang w:val="en-US"/>
              </w:rPr>
            </w:pPr>
            <w:r w:rsidRPr="00F97146">
              <w:rPr>
                <w:rFonts w:ascii="Aptos" w:hAnsi="Aptos" w:cs="Segoe UI"/>
                <w:sz w:val="18"/>
                <w:szCs w:val="14"/>
                <w:lang w:val="en-US"/>
              </w:rPr>
              <w:lastRenderedPageBreak/>
              <w:t>Rule 7, adding 7th indent:</w:t>
            </w:r>
          </w:p>
          <w:p w14:paraId="4054DC3D" w14:textId="77777777" w:rsidR="00F26E61" w:rsidRPr="00F97146" w:rsidRDefault="00F26E61" w:rsidP="00407A8E">
            <w:pPr>
              <w:pStyle w:val="ISOChange"/>
              <w:spacing w:before="60" w:line="240" w:lineRule="auto"/>
              <w:ind w:left="720"/>
              <w:rPr>
                <w:rFonts w:ascii="Aptos" w:hAnsi="Aptos" w:cs="Segoe UI"/>
                <w:i/>
                <w:iCs/>
                <w:sz w:val="18"/>
                <w:szCs w:val="14"/>
                <w:lang w:val="en-US"/>
              </w:rPr>
            </w:pPr>
            <w:r w:rsidRPr="00F97146">
              <w:rPr>
                <w:rFonts w:ascii="Aptos" w:hAnsi="Aptos" w:cs="Segoe UI"/>
                <w:i/>
                <w:iCs/>
                <w:sz w:val="18"/>
                <w:szCs w:val="14"/>
                <w:lang w:val="en-US"/>
              </w:rPr>
              <w:t>“- are reusable surgical instruments regardless of the body part with which they come into contact,</w:t>
            </w:r>
          </w:p>
          <w:p w14:paraId="1291F8B0" w14:textId="77777777" w:rsidR="00F26E61" w:rsidRPr="00F97146" w:rsidRDefault="00F26E61" w:rsidP="00407A8E">
            <w:pPr>
              <w:pStyle w:val="ISOChange"/>
              <w:spacing w:before="60" w:line="240" w:lineRule="auto"/>
              <w:ind w:left="720"/>
              <w:rPr>
                <w:rFonts w:ascii="Aptos" w:hAnsi="Aptos" w:cs="Segoe UI"/>
                <w:i/>
                <w:iCs/>
                <w:sz w:val="18"/>
                <w:szCs w:val="14"/>
                <w:lang w:val="en-US"/>
              </w:rPr>
            </w:pPr>
            <w:r w:rsidRPr="00F97146">
              <w:rPr>
                <w:rFonts w:ascii="Aptos" w:hAnsi="Aptos" w:cs="Segoe UI"/>
                <w:i/>
                <w:iCs/>
                <w:sz w:val="18"/>
                <w:szCs w:val="14"/>
                <w:lang w:val="en-US"/>
              </w:rPr>
              <w:t>in which case they are classified as class I;”</w:t>
            </w:r>
          </w:p>
          <w:p w14:paraId="04FE3A54" w14:textId="77777777" w:rsidR="00F26E61" w:rsidRPr="00F97146" w:rsidRDefault="00F26E61" w:rsidP="00407A8E">
            <w:pPr>
              <w:pStyle w:val="ISOChange"/>
              <w:spacing w:before="60" w:line="240" w:lineRule="auto"/>
              <w:rPr>
                <w:rFonts w:ascii="Aptos" w:hAnsi="Aptos" w:cs="Segoe UI"/>
                <w:sz w:val="18"/>
                <w:szCs w:val="14"/>
                <w:lang w:val="en-US"/>
              </w:rPr>
            </w:pPr>
          </w:p>
          <w:p w14:paraId="28105972" w14:textId="77777777" w:rsidR="00F26E61" w:rsidRPr="00F97146" w:rsidRDefault="00F26E61" w:rsidP="00407A8E">
            <w:pPr>
              <w:pStyle w:val="ISOChange"/>
              <w:spacing w:before="60" w:line="240" w:lineRule="auto"/>
              <w:rPr>
                <w:rFonts w:ascii="Aptos" w:hAnsi="Aptos" w:cs="Segoe UI"/>
                <w:sz w:val="18"/>
                <w:szCs w:val="14"/>
                <w:lang w:val="en-US"/>
              </w:rPr>
            </w:pPr>
            <w:r w:rsidRPr="00F97146">
              <w:rPr>
                <w:rFonts w:ascii="Aptos" w:hAnsi="Aptos" w:cs="Segoe UI"/>
                <w:sz w:val="18"/>
                <w:szCs w:val="14"/>
                <w:lang w:val="en-US"/>
              </w:rPr>
              <w:t xml:space="preserve">It is our opinion that the proposed changes, including reclassification of former Class III devices that inherently do show any of the above-mentioned risks to Class </w:t>
            </w:r>
            <w:proofErr w:type="spellStart"/>
            <w:r w:rsidRPr="00F97146">
              <w:rPr>
                <w:rFonts w:ascii="Aptos" w:hAnsi="Aptos" w:cs="Segoe UI"/>
                <w:sz w:val="18"/>
                <w:szCs w:val="14"/>
                <w:lang w:val="en-US"/>
              </w:rPr>
              <w:t>Ir</w:t>
            </w:r>
            <w:proofErr w:type="spellEnd"/>
            <w:r w:rsidRPr="00F97146">
              <w:rPr>
                <w:rFonts w:ascii="Aptos" w:hAnsi="Aptos" w:cs="Segoe UI"/>
                <w:sz w:val="18"/>
                <w:szCs w:val="14"/>
                <w:lang w:val="en-US"/>
              </w:rPr>
              <w:t xml:space="preserve"> devices, do not appropriately take into account the intended purpose and inherent risk of these devices and are therefore not congruent with the clear intent of MDR definitions as cited in the preamble. From a NB and expert position we cannot agree with this change for the following reasons:</w:t>
            </w:r>
          </w:p>
          <w:p w14:paraId="16443558" w14:textId="77777777" w:rsidR="00F26E61" w:rsidRPr="00F97146" w:rsidRDefault="00F26E61" w:rsidP="00407A8E">
            <w:pPr>
              <w:pStyle w:val="ISOChange"/>
              <w:spacing w:before="60" w:line="240" w:lineRule="auto"/>
              <w:rPr>
                <w:rFonts w:ascii="Aptos" w:hAnsi="Aptos" w:cs="Segoe UI"/>
                <w:sz w:val="18"/>
                <w:szCs w:val="14"/>
                <w:lang w:val="en-US"/>
              </w:rPr>
            </w:pPr>
          </w:p>
          <w:p w14:paraId="51BF3D05" w14:textId="77777777" w:rsidR="00F26E61" w:rsidRPr="00F97146" w:rsidRDefault="00F26E61" w:rsidP="00F26E61">
            <w:pPr>
              <w:pStyle w:val="ISOChange"/>
              <w:numPr>
                <w:ilvl w:val="0"/>
                <w:numId w:val="73"/>
              </w:numPr>
              <w:spacing w:before="60" w:line="240" w:lineRule="auto"/>
              <w:rPr>
                <w:rFonts w:ascii="Aptos" w:hAnsi="Aptos" w:cs="Segoe UI"/>
                <w:sz w:val="18"/>
                <w:szCs w:val="14"/>
                <w:lang w:val="en-US"/>
              </w:rPr>
            </w:pPr>
            <w:r w:rsidRPr="00F97146">
              <w:rPr>
                <w:rFonts w:ascii="Aptos" w:hAnsi="Aptos" w:cs="Segoe UI"/>
                <w:sz w:val="18"/>
                <w:szCs w:val="14"/>
                <w:lang w:val="en-US"/>
              </w:rPr>
              <w:t>Concerns related to device safety and performance</w:t>
            </w:r>
          </w:p>
          <w:p w14:paraId="3094D0AB" w14:textId="77777777" w:rsidR="00F26E61" w:rsidRPr="00F97146" w:rsidRDefault="00F26E61" w:rsidP="00407A8E">
            <w:pPr>
              <w:pStyle w:val="ISOChange"/>
              <w:spacing w:before="60" w:line="240" w:lineRule="auto"/>
              <w:rPr>
                <w:rFonts w:ascii="Aptos" w:hAnsi="Aptos" w:cs="Segoe UI"/>
                <w:sz w:val="18"/>
                <w:szCs w:val="14"/>
                <w:lang w:val="en-US"/>
              </w:rPr>
            </w:pPr>
            <w:r w:rsidRPr="00F97146">
              <w:rPr>
                <w:rFonts w:ascii="Aptos" w:hAnsi="Aptos" w:cs="Segoe UI"/>
                <w:sz w:val="18"/>
                <w:szCs w:val="14"/>
                <w:lang w:val="en-US"/>
              </w:rPr>
              <w:t>In general, the classification rules of medical devices in the EU are based on the vulnerability of the human body. Potential risks related to design and manufacturing of devices should be considered. (Directive 2007/47/EC, 2007-09-05).</w:t>
            </w:r>
          </w:p>
          <w:p w14:paraId="58160085" w14:textId="77777777" w:rsidR="00F26E61" w:rsidRPr="00F97146" w:rsidRDefault="00F26E61" w:rsidP="00407A8E">
            <w:pPr>
              <w:pStyle w:val="ISOChange"/>
              <w:spacing w:line="240" w:lineRule="auto"/>
              <w:rPr>
                <w:rFonts w:ascii="Aptos" w:hAnsi="Aptos" w:cs="Segoe UI"/>
                <w:sz w:val="18"/>
                <w:szCs w:val="14"/>
                <w:lang w:val="en-US"/>
              </w:rPr>
            </w:pPr>
            <w:r w:rsidRPr="00F97146">
              <w:rPr>
                <w:rFonts w:ascii="Aptos" w:hAnsi="Aptos" w:cs="Segoe UI"/>
                <w:sz w:val="18"/>
                <w:szCs w:val="14"/>
                <w:lang w:val="en-US"/>
              </w:rPr>
              <w:t xml:space="preserve">The MDR, Chapter V, Classification and Conformity Assessment, Section 1, Classification, Art 51 Classification of Devices, requires that devices shall be divided into classes I, </w:t>
            </w:r>
            <w:proofErr w:type="spellStart"/>
            <w:r w:rsidRPr="00F97146">
              <w:rPr>
                <w:rFonts w:ascii="Aptos" w:hAnsi="Aptos" w:cs="Segoe UI"/>
                <w:sz w:val="18"/>
                <w:szCs w:val="14"/>
                <w:lang w:val="en-US"/>
              </w:rPr>
              <w:t>IIa</w:t>
            </w:r>
            <w:proofErr w:type="spellEnd"/>
            <w:r w:rsidRPr="00F97146">
              <w:rPr>
                <w:rFonts w:ascii="Aptos" w:hAnsi="Aptos" w:cs="Segoe UI"/>
                <w:sz w:val="18"/>
                <w:szCs w:val="14"/>
                <w:lang w:val="en-US"/>
              </w:rPr>
              <w:t>, IIb and III, taking into account the intended purpose of the devices and their inherent risks. Classification shall be carried out in accordance with Annex VIII.</w:t>
            </w:r>
          </w:p>
          <w:p w14:paraId="5F1EC455" w14:textId="77777777" w:rsidR="00F26E61" w:rsidRPr="00F97146" w:rsidRDefault="00F26E61" w:rsidP="00407A8E">
            <w:pPr>
              <w:pStyle w:val="ISOChange"/>
              <w:spacing w:line="240" w:lineRule="auto"/>
              <w:rPr>
                <w:rFonts w:ascii="Aptos" w:hAnsi="Aptos" w:cs="Segoe UI"/>
                <w:sz w:val="18"/>
                <w:szCs w:val="14"/>
                <w:lang w:val="en-US"/>
              </w:rPr>
            </w:pPr>
            <w:r w:rsidRPr="00F97146">
              <w:rPr>
                <w:rFonts w:ascii="Aptos" w:hAnsi="Aptos" w:cs="Segoe UI"/>
                <w:sz w:val="18"/>
                <w:szCs w:val="14"/>
                <w:lang w:val="en-US"/>
              </w:rPr>
              <w:t>Furthermore, the preamble to the MDR contains the following recital for Class I devices:</w:t>
            </w:r>
          </w:p>
          <w:p w14:paraId="3A5EDECD" w14:textId="77777777" w:rsidR="00F26E61" w:rsidRPr="00F97146" w:rsidRDefault="00F26E61" w:rsidP="00407A8E">
            <w:pPr>
              <w:pStyle w:val="ISOChange"/>
              <w:spacing w:line="240" w:lineRule="auto"/>
              <w:rPr>
                <w:rFonts w:ascii="Aptos" w:hAnsi="Aptos" w:cs="Segoe UI"/>
                <w:i/>
                <w:iCs/>
                <w:sz w:val="18"/>
                <w:szCs w:val="14"/>
                <w:lang w:val="en-US"/>
              </w:rPr>
            </w:pPr>
            <w:r w:rsidRPr="00F97146">
              <w:rPr>
                <w:rFonts w:ascii="Aptos" w:hAnsi="Aptos" w:cs="Segoe UI"/>
                <w:i/>
                <w:iCs/>
                <w:sz w:val="18"/>
                <w:szCs w:val="14"/>
                <w:lang w:val="en-US"/>
              </w:rPr>
              <w:t xml:space="preserve">“(60) The conformity assessment procedure for class I devices should be carried out, as a general rule, under the sole responsibility of manufacturers in view of the low level of </w:t>
            </w:r>
            <w:r w:rsidRPr="00F97146">
              <w:rPr>
                <w:rFonts w:ascii="Aptos" w:hAnsi="Aptos" w:cs="Segoe UI"/>
                <w:i/>
                <w:iCs/>
                <w:sz w:val="18"/>
                <w:szCs w:val="14"/>
                <w:lang w:val="en-US"/>
              </w:rPr>
              <w:lastRenderedPageBreak/>
              <w:t>vulnerability</w:t>
            </w:r>
            <w:r w:rsidRPr="00F97146">
              <w:rPr>
                <w:rFonts w:ascii="Aptos" w:hAnsi="Aptos" w:cs="Segoe UI"/>
                <w:b/>
                <w:bCs/>
                <w:i/>
                <w:iCs/>
                <w:sz w:val="18"/>
                <w:szCs w:val="14"/>
                <w:lang w:val="en-US"/>
              </w:rPr>
              <w:t xml:space="preserve"> </w:t>
            </w:r>
            <w:r w:rsidRPr="00F97146">
              <w:rPr>
                <w:rFonts w:ascii="Aptos" w:hAnsi="Aptos" w:cs="Segoe UI"/>
                <w:i/>
                <w:iCs/>
                <w:sz w:val="18"/>
                <w:szCs w:val="14"/>
                <w:lang w:val="en-US"/>
              </w:rPr>
              <w:t xml:space="preserve">associated with such devices. For class </w:t>
            </w:r>
            <w:proofErr w:type="spellStart"/>
            <w:r w:rsidRPr="00F97146">
              <w:rPr>
                <w:rFonts w:ascii="Aptos" w:hAnsi="Aptos" w:cs="Segoe UI"/>
                <w:i/>
                <w:iCs/>
                <w:sz w:val="18"/>
                <w:szCs w:val="14"/>
                <w:lang w:val="en-US"/>
              </w:rPr>
              <w:t>IIa</w:t>
            </w:r>
            <w:proofErr w:type="spellEnd"/>
            <w:r w:rsidRPr="00F97146">
              <w:rPr>
                <w:rFonts w:ascii="Aptos" w:hAnsi="Aptos" w:cs="Segoe UI"/>
                <w:i/>
                <w:iCs/>
                <w:sz w:val="18"/>
                <w:szCs w:val="14"/>
                <w:lang w:val="en-US"/>
              </w:rPr>
              <w:t>, class IIb and class III devices, an appropriate level of involvement of a notified body should be compulsory.”</w:t>
            </w:r>
          </w:p>
          <w:p w14:paraId="649623DB" w14:textId="77777777" w:rsidR="00F26E61" w:rsidRPr="00F97146" w:rsidRDefault="00F26E61" w:rsidP="00407A8E">
            <w:pPr>
              <w:pStyle w:val="ISOChange"/>
              <w:spacing w:line="240" w:lineRule="auto"/>
              <w:rPr>
                <w:rFonts w:ascii="Aptos" w:hAnsi="Aptos" w:cs="Segoe UI"/>
                <w:sz w:val="18"/>
                <w:szCs w:val="14"/>
                <w:lang w:val="en-US"/>
              </w:rPr>
            </w:pPr>
            <w:r w:rsidRPr="00F97146">
              <w:rPr>
                <w:rFonts w:ascii="Aptos" w:hAnsi="Aptos" w:cs="Segoe UI"/>
                <w:sz w:val="18"/>
                <w:szCs w:val="14"/>
                <w:lang w:val="en-US"/>
              </w:rPr>
              <w:t>Note to vulnerability of the human body:</w:t>
            </w:r>
          </w:p>
          <w:p w14:paraId="6EEA6A0A" w14:textId="77777777" w:rsidR="00F26E61" w:rsidRPr="00F97146" w:rsidRDefault="00F26E61" w:rsidP="00407A8E">
            <w:pPr>
              <w:pStyle w:val="ISOChange"/>
              <w:spacing w:before="0" w:line="240" w:lineRule="auto"/>
              <w:rPr>
                <w:rFonts w:ascii="Aptos" w:hAnsi="Aptos" w:cs="Segoe UI"/>
                <w:sz w:val="18"/>
                <w:szCs w:val="14"/>
                <w:lang w:val="en-US"/>
              </w:rPr>
            </w:pPr>
            <w:r w:rsidRPr="00F97146">
              <w:rPr>
                <w:rFonts w:ascii="Aptos" w:hAnsi="Aptos" w:cs="Segoe UI"/>
                <w:sz w:val="18"/>
                <w:szCs w:val="14"/>
                <w:lang w:val="en-US"/>
              </w:rPr>
              <w:t>The current classification of surgically invasive instruments for use on the CNS and CCS in class III is based on the high vulnerability of the regions mentioned and the associated correspondingly high-risk potential and potential damage, but not on the technical complexity of the instruments. Interventions on the structures of the CNS and CCS carry the highest risk on the part of the patient.</w:t>
            </w:r>
          </w:p>
          <w:p w14:paraId="31F2E789" w14:textId="77777777" w:rsidR="00F26E61" w:rsidRDefault="00F26E61" w:rsidP="00407A8E">
            <w:pPr>
              <w:pStyle w:val="ISOChange"/>
              <w:spacing w:before="60" w:line="240" w:lineRule="auto"/>
              <w:rPr>
                <w:rFonts w:ascii="Aptos" w:hAnsi="Aptos" w:cs="Segoe UI"/>
                <w:sz w:val="18"/>
                <w:szCs w:val="14"/>
                <w:lang w:val="en-US"/>
              </w:rPr>
            </w:pPr>
          </w:p>
          <w:p w14:paraId="4EA94DCF" w14:textId="77777777" w:rsidR="00F26E61" w:rsidRPr="00F97146" w:rsidRDefault="00F26E61" w:rsidP="00407A8E">
            <w:pPr>
              <w:pStyle w:val="ISOChange"/>
              <w:spacing w:before="60" w:line="240" w:lineRule="auto"/>
              <w:rPr>
                <w:rFonts w:ascii="Aptos" w:hAnsi="Aptos" w:cs="Segoe UI"/>
                <w:sz w:val="18"/>
                <w:szCs w:val="14"/>
                <w:lang w:val="en-US"/>
              </w:rPr>
            </w:pPr>
            <w:r w:rsidRPr="00F97146">
              <w:rPr>
                <w:rFonts w:ascii="Aptos" w:hAnsi="Aptos" w:cs="Segoe UI"/>
                <w:sz w:val="18"/>
                <w:szCs w:val="14"/>
                <w:lang w:val="en-US"/>
              </w:rPr>
              <w:t>For example, in the CNS even the slightest errors, contamination or material defects can lead to permanent neurological deficits, paralysis, cognitive damage and death.</w:t>
            </w:r>
          </w:p>
          <w:p w14:paraId="501ACC46" w14:textId="77777777" w:rsidR="00F26E61" w:rsidRPr="00F97146" w:rsidRDefault="00F26E61" w:rsidP="00407A8E">
            <w:pPr>
              <w:pStyle w:val="ISOChange"/>
              <w:spacing w:before="60"/>
              <w:rPr>
                <w:rFonts w:ascii="Aptos" w:hAnsi="Aptos" w:cs="Segoe UI"/>
                <w:sz w:val="18"/>
                <w:szCs w:val="14"/>
                <w:lang w:val="en-US"/>
              </w:rPr>
            </w:pPr>
            <w:r w:rsidRPr="00F97146">
              <w:rPr>
                <w:rFonts w:ascii="Aptos" w:hAnsi="Aptos" w:cs="Segoe UI"/>
                <w:sz w:val="18"/>
                <w:szCs w:val="14"/>
                <w:lang w:val="en-US"/>
              </w:rPr>
              <w:t>Typical CNS-related risks include the following:</w:t>
            </w:r>
          </w:p>
          <w:p w14:paraId="2F1B7D9C" w14:textId="77777777" w:rsidR="00F26E61" w:rsidRPr="00F97146" w:rsidRDefault="00F26E61" w:rsidP="00F26E61">
            <w:pPr>
              <w:pStyle w:val="ISOChange"/>
              <w:numPr>
                <w:ilvl w:val="0"/>
                <w:numId w:val="78"/>
              </w:numPr>
              <w:spacing w:before="60"/>
              <w:ind w:left="720"/>
              <w:rPr>
                <w:rFonts w:ascii="Aptos" w:hAnsi="Aptos" w:cs="Segoe UI"/>
                <w:sz w:val="18"/>
                <w:szCs w:val="14"/>
                <w:lang w:val="en-US"/>
              </w:rPr>
            </w:pPr>
            <w:r w:rsidRPr="00F97146">
              <w:rPr>
                <w:rFonts w:ascii="Aptos" w:hAnsi="Aptos" w:cs="Segoe UI"/>
                <w:sz w:val="18"/>
                <w:szCs w:val="14"/>
                <w:lang w:val="en-US"/>
              </w:rPr>
              <w:t>Contamination/infection (e.g., meningitis, CJD/BSE): Even minimal bacterial or particulate contamination can cause severe neurological damage.</w:t>
            </w:r>
          </w:p>
          <w:p w14:paraId="4CAE9DE4" w14:textId="77777777" w:rsidR="00F26E61" w:rsidRPr="00F97146" w:rsidRDefault="00F26E61" w:rsidP="00F26E61">
            <w:pPr>
              <w:pStyle w:val="ISOChange"/>
              <w:numPr>
                <w:ilvl w:val="0"/>
                <w:numId w:val="78"/>
              </w:numPr>
              <w:spacing w:before="60"/>
              <w:ind w:left="720"/>
              <w:rPr>
                <w:rFonts w:ascii="Aptos" w:hAnsi="Aptos" w:cs="Segoe UI"/>
                <w:sz w:val="18"/>
                <w:szCs w:val="14"/>
                <w:lang w:val="en-US"/>
              </w:rPr>
            </w:pPr>
            <w:r w:rsidRPr="00F97146">
              <w:rPr>
                <w:rFonts w:ascii="Aptos" w:hAnsi="Aptos" w:cs="Segoe UI"/>
                <w:sz w:val="18"/>
                <w:szCs w:val="14"/>
                <w:lang w:val="en-US"/>
              </w:rPr>
              <w:t>Mechanical injuries caused by surgery on the brain or spinal cord have the potential for irreversible damage.</w:t>
            </w:r>
          </w:p>
          <w:p w14:paraId="61EC13F6" w14:textId="77777777" w:rsidR="00F26E61" w:rsidRPr="00F97146" w:rsidRDefault="00F26E61" w:rsidP="00F26E61">
            <w:pPr>
              <w:pStyle w:val="ISOChange"/>
              <w:numPr>
                <w:ilvl w:val="0"/>
                <w:numId w:val="78"/>
              </w:numPr>
              <w:spacing w:before="60"/>
              <w:ind w:left="720"/>
              <w:rPr>
                <w:rFonts w:ascii="Aptos" w:hAnsi="Aptos" w:cs="Segoe UI"/>
                <w:sz w:val="18"/>
                <w:szCs w:val="14"/>
                <w:lang w:val="en-US"/>
              </w:rPr>
            </w:pPr>
            <w:r w:rsidRPr="00F97146">
              <w:rPr>
                <w:rFonts w:ascii="Aptos" w:hAnsi="Aptos" w:cs="Segoe UI"/>
                <w:sz w:val="18"/>
                <w:szCs w:val="14"/>
                <w:lang w:val="en-US"/>
              </w:rPr>
              <w:t>Products that transport or manipulate cerebrospinal fluid can alter pressure conditions, which must be considered potentially life-threatening.</w:t>
            </w:r>
          </w:p>
          <w:p w14:paraId="38C69FEE" w14:textId="77777777" w:rsidR="00F26E61" w:rsidRPr="00F97146" w:rsidRDefault="00F26E61" w:rsidP="00F26E61">
            <w:pPr>
              <w:pStyle w:val="ISOChange"/>
              <w:numPr>
                <w:ilvl w:val="0"/>
                <w:numId w:val="78"/>
              </w:numPr>
              <w:spacing w:before="60"/>
              <w:ind w:left="720"/>
              <w:rPr>
                <w:rFonts w:ascii="Aptos" w:hAnsi="Aptos" w:cs="Segoe UI"/>
                <w:sz w:val="18"/>
                <w:szCs w:val="14"/>
                <w:lang w:val="en-US"/>
              </w:rPr>
            </w:pPr>
            <w:r w:rsidRPr="00F97146">
              <w:rPr>
                <w:rFonts w:ascii="Aptos" w:hAnsi="Aptos" w:cs="Segoe UI"/>
                <w:sz w:val="18"/>
                <w:szCs w:val="14"/>
                <w:lang w:val="en-US"/>
              </w:rPr>
              <w:t>In the CNS, materials must be evaluated particularly strictly, as degradation products can damage the nerve tissue (material toxicity).</w:t>
            </w:r>
          </w:p>
          <w:p w14:paraId="36F245F4" w14:textId="77777777" w:rsidR="00F26E61" w:rsidRDefault="00F26E61" w:rsidP="00407A8E">
            <w:pPr>
              <w:pStyle w:val="ISOChange"/>
              <w:spacing w:before="60"/>
              <w:rPr>
                <w:rFonts w:ascii="Aptos" w:hAnsi="Aptos" w:cs="Segoe UI"/>
                <w:sz w:val="18"/>
                <w:szCs w:val="14"/>
                <w:lang w:val="en-US"/>
              </w:rPr>
            </w:pPr>
          </w:p>
          <w:p w14:paraId="077268FA" w14:textId="77777777" w:rsidR="00F26E61" w:rsidRPr="00F97146" w:rsidRDefault="00F26E61" w:rsidP="00407A8E">
            <w:pPr>
              <w:pStyle w:val="ISOChange"/>
              <w:spacing w:before="60"/>
              <w:rPr>
                <w:rFonts w:ascii="Aptos" w:hAnsi="Aptos" w:cs="Segoe UI"/>
                <w:sz w:val="18"/>
                <w:szCs w:val="14"/>
                <w:lang w:val="en-US"/>
              </w:rPr>
            </w:pPr>
            <w:r w:rsidRPr="00F97146">
              <w:rPr>
                <w:rFonts w:ascii="Aptos" w:hAnsi="Aptos" w:cs="Segoe UI"/>
                <w:sz w:val="18"/>
                <w:szCs w:val="14"/>
                <w:lang w:val="en-US"/>
              </w:rPr>
              <w:t>Typical CCS-related risks include the following:</w:t>
            </w:r>
          </w:p>
          <w:p w14:paraId="4B31EF4C" w14:textId="77777777" w:rsidR="00F26E61" w:rsidRPr="00F97146" w:rsidRDefault="00F26E61" w:rsidP="00F26E61">
            <w:pPr>
              <w:pStyle w:val="ISOChange"/>
              <w:numPr>
                <w:ilvl w:val="0"/>
                <w:numId w:val="77"/>
              </w:numPr>
              <w:spacing w:before="60"/>
              <w:rPr>
                <w:rFonts w:ascii="Aptos" w:hAnsi="Aptos" w:cs="Segoe UI"/>
                <w:sz w:val="18"/>
                <w:szCs w:val="14"/>
                <w:lang w:val="en-US"/>
              </w:rPr>
            </w:pPr>
            <w:r w:rsidRPr="00F97146">
              <w:rPr>
                <w:rFonts w:ascii="Aptos" w:hAnsi="Aptos" w:cs="Segoe UI"/>
                <w:sz w:val="18"/>
                <w:szCs w:val="14"/>
                <w:lang w:val="en-US"/>
              </w:rPr>
              <w:t xml:space="preserve">Even minimal bacterial or particulate contamination can cause severe, even systemic </w:t>
            </w:r>
            <w:r w:rsidRPr="00F97146">
              <w:rPr>
                <w:rFonts w:ascii="Aptos" w:hAnsi="Aptos" w:cs="Segoe UI"/>
                <w:sz w:val="18"/>
                <w:szCs w:val="14"/>
                <w:lang w:val="en-US"/>
              </w:rPr>
              <w:lastRenderedPageBreak/>
              <w:t>damage (e.g. endocarditis, sternum infections, sepsis). Embolisms can also be the result.</w:t>
            </w:r>
          </w:p>
          <w:p w14:paraId="55B62474" w14:textId="77777777" w:rsidR="00F26E61" w:rsidRPr="00F97146" w:rsidRDefault="00F26E61" w:rsidP="00F26E61">
            <w:pPr>
              <w:pStyle w:val="ISOChange"/>
              <w:numPr>
                <w:ilvl w:val="0"/>
                <w:numId w:val="77"/>
              </w:numPr>
              <w:spacing w:before="60"/>
              <w:rPr>
                <w:rFonts w:ascii="Aptos" w:hAnsi="Aptos" w:cs="Segoe UI"/>
                <w:sz w:val="18"/>
                <w:szCs w:val="14"/>
                <w:lang w:val="en-US"/>
              </w:rPr>
            </w:pPr>
            <w:r w:rsidRPr="00F97146">
              <w:rPr>
                <w:rFonts w:ascii="Aptos" w:hAnsi="Aptos" w:cs="Segoe UI"/>
                <w:sz w:val="18"/>
                <w:szCs w:val="14"/>
                <w:lang w:val="en-US"/>
              </w:rPr>
              <w:t>Mechanical injuries to large vessels or the heart can lead to life-threatening blood loss.</w:t>
            </w:r>
          </w:p>
          <w:p w14:paraId="47A15AEB" w14:textId="77777777" w:rsidR="00F26E61" w:rsidRPr="00F97146" w:rsidRDefault="00F26E61" w:rsidP="00F26E61">
            <w:pPr>
              <w:pStyle w:val="ISOChange"/>
              <w:numPr>
                <w:ilvl w:val="0"/>
                <w:numId w:val="77"/>
              </w:numPr>
              <w:spacing w:before="60" w:line="240" w:lineRule="auto"/>
              <w:rPr>
                <w:rFonts w:ascii="Aptos" w:hAnsi="Aptos" w:cs="Segoe UI"/>
                <w:sz w:val="18"/>
                <w:szCs w:val="14"/>
                <w:lang w:val="en-US"/>
              </w:rPr>
            </w:pPr>
            <w:r w:rsidRPr="00F97146">
              <w:rPr>
                <w:rFonts w:ascii="Aptos" w:hAnsi="Aptos" w:cs="Segoe UI"/>
                <w:sz w:val="18"/>
                <w:szCs w:val="14"/>
                <w:lang w:val="de-DE"/>
              </w:rPr>
              <w:t>Death.</w:t>
            </w:r>
          </w:p>
          <w:p w14:paraId="1429CEFA" w14:textId="77777777" w:rsidR="00F26E61" w:rsidRPr="00F97146" w:rsidRDefault="00F26E61" w:rsidP="00407A8E">
            <w:pPr>
              <w:pStyle w:val="ISOChange"/>
              <w:spacing w:before="60" w:line="240" w:lineRule="auto"/>
              <w:rPr>
                <w:rFonts w:ascii="Aptos" w:hAnsi="Aptos" w:cs="Segoe UI"/>
                <w:sz w:val="18"/>
                <w:szCs w:val="14"/>
                <w:lang w:val="en-US"/>
              </w:rPr>
            </w:pPr>
          </w:p>
          <w:p w14:paraId="22F60BFD" w14:textId="77777777" w:rsidR="00F26E61" w:rsidRPr="00F97146" w:rsidRDefault="00F26E61" w:rsidP="00407A8E">
            <w:pPr>
              <w:pStyle w:val="ISOChange"/>
              <w:spacing w:before="60" w:line="240" w:lineRule="auto"/>
              <w:rPr>
                <w:rFonts w:ascii="Aptos" w:hAnsi="Aptos" w:cs="Segoe UI"/>
                <w:sz w:val="18"/>
                <w:szCs w:val="14"/>
                <w:lang w:val="en-US"/>
              </w:rPr>
            </w:pPr>
            <w:r w:rsidRPr="00F97146">
              <w:rPr>
                <w:rFonts w:ascii="Aptos" w:hAnsi="Aptos" w:cs="Segoe UI"/>
                <w:sz w:val="18"/>
                <w:szCs w:val="14"/>
                <w:lang w:val="en-US"/>
              </w:rPr>
              <w:t xml:space="preserve">If products with highest risk, in this case based on the vulnerability of the human body, will be classified in the lowest device risk category, systematic monitoring of production and design is not guaranteed due to the requirements of Art 52. This is to be regarded as critical, as most instrument-related notifications from the market (e.g. national databases on medical device risks (e.g. </w:t>
            </w:r>
            <w:proofErr w:type="spellStart"/>
            <w:r w:rsidRPr="00F97146">
              <w:rPr>
                <w:rFonts w:ascii="Aptos" w:hAnsi="Aptos" w:cs="Segoe UI"/>
                <w:sz w:val="18"/>
                <w:szCs w:val="14"/>
                <w:lang w:val="en-US"/>
              </w:rPr>
              <w:t>BfArM</w:t>
            </w:r>
            <w:proofErr w:type="spellEnd"/>
            <w:r w:rsidRPr="00F97146">
              <w:rPr>
                <w:rFonts w:ascii="Aptos" w:hAnsi="Aptos" w:cs="Segoe UI"/>
                <w:sz w:val="18"/>
                <w:szCs w:val="14"/>
                <w:lang w:val="en-US"/>
              </w:rPr>
              <w:t>)) originate in production and quality system issues.</w:t>
            </w:r>
          </w:p>
          <w:p w14:paraId="5436A11B" w14:textId="77777777" w:rsidR="00F26E61" w:rsidRPr="00F97146" w:rsidRDefault="00F26E61" w:rsidP="00407A8E">
            <w:pPr>
              <w:pStyle w:val="ISOChange"/>
              <w:spacing w:line="240" w:lineRule="auto"/>
              <w:rPr>
                <w:rFonts w:ascii="Aptos" w:hAnsi="Aptos" w:cs="Segoe UI"/>
                <w:sz w:val="18"/>
                <w:szCs w:val="14"/>
                <w:lang w:val="en-US"/>
              </w:rPr>
            </w:pPr>
            <w:r w:rsidRPr="00F97146">
              <w:rPr>
                <w:rFonts w:ascii="Aptos" w:hAnsi="Aptos" w:cs="Segoe UI"/>
                <w:sz w:val="18"/>
                <w:szCs w:val="14"/>
                <w:lang w:val="en-US"/>
              </w:rPr>
              <w:t>The relatively low number of reportable/reported vigilance cases for class III instruments is very likely due to the currently very well-functioning monitoring of product design and manufacturing by NBs.</w:t>
            </w:r>
          </w:p>
          <w:p w14:paraId="4ECF6B7D" w14:textId="77777777" w:rsidR="00F26E61" w:rsidRDefault="00F26E61" w:rsidP="00407A8E">
            <w:pPr>
              <w:pStyle w:val="ISOChange"/>
              <w:spacing w:before="0" w:line="240" w:lineRule="auto"/>
              <w:rPr>
                <w:rFonts w:ascii="Aptos" w:hAnsi="Aptos" w:cs="Segoe UI"/>
                <w:sz w:val="18"/>
                <w:szCs w:val="14"/>
                <w:lang w:val="en-US"/>
              </w:rPr>
            </w:pPr>
          </w:p>
          <w:p w14:paraId="065B7CB8" w14:textId="77777777" w:rsidR="00F26E61" w:rsidRPr="00F97146" w:rsidRDefault="00F26E61" w:rsidP="00407A8E">
            <w:pPr>
              <w:pStyle w:val="ISOChange"/>
              <w:spacing w:before="0" w:line="240" w:lineRule="auto"/>
              <w:rPr>
                <w:rFonts w:ascii="Aptos" w:hAnsi="Aptos" w:cs="Segoe UI"/>
                <w:sz w:val="18"/>
                <w:szCs w:val="14"/>
                <w:lang w:val="en-US"/>
              </w:rPr>
            </w:pPr>
            <w:r w:rsidRPr="00F97146">
              <w:rPr>
                <w:rFonts w:ascii="Aptos" w:hAnsi="Aptos" w:cs="Segoe UI"/>
                <w:sz w:val="18"/>
                <w:szCs w:val="14"/>
                <w:lang w:val="en-US"/>
              </w:rPr>
              <w:t>A significant down-classification of reusable surgically invasive instruments with direct contact to the CNS and CCS from class III to class I in combination of the removal of the NB involvement (Art 52(7c)) will therefore have a negative impact on the safety of the products and patients.</w:t>
            </w:r>
          </w:p>
          <w:p w14:paraId="7ECC5E4E" w14:textId="77777777" w:rsidR="00F26E61" w:rsidRPr="00F97146" w:rsidRDefault="00F26E61" w:rsidP="00407A8E">
            <w:pPr>
              <w:pStyle w:val="ISOChange"/>
              <w:spacing w:line="240" w:lineRule="auto"/>
              <w:rPr>
                <w:rFonts w:ascii="Aptos" w:hAnsi="Aptos" w:cs="Segoe UI"/>
                <w:sz w:val="18"/>
                <w:szCs w:val="14"/>
                <w:lang w:val="en-US"/>
              </w:rPr>
            </w:pPr>
            <w:r w:rsidRPr="00F97146">
              <w:rPr>
                <w:rFonts w:ascii="Aptos" w:hAnsi="Aptos" w:cs="Segoe UI"/>
                <w:sz w:val="18"/>
                <w:szCs w:val="14"/>
                <w:lang w:val="en-US"/>
              </w:rPr>
              <w:t>A possible economic impact, possibly due to higher costs related to injured patients (and their relatives), needs to be considered.</w:t>
            </w:r>
          </w:p>
          <w:p w14:paraId="014AD0C6" w14:textId="77777777" w:rsidR="00F26E61" w:rsidRPr="00F97146" w:rsidRDefault="00F26E61" w:rsidP="00407A8E">
            <w:pPr>
              <w:pStyle w:val="ISOChange"/>
              <w:spacing w:line="240" w:lineRule="auto"/>
              <w:rPr>
                <w:rFonts w:ascii="Aptos" w:hAnsi="Aptos" w:cs="Segoe UI"/>
                <w:sz w:val="18"/>
                <w:szCs w:val="14"/>
                <w:lang w:val="en-US"/>
              </w:rPr>
            </w:pPr>
            <w:r w:rsidRPr="00F97146">
              <w:rPr>
                <w:rFonts w:ascii="Aptos" w:hAnsi="Aptos" w:cs="Segoe UI"/>
                <w:sz w:val="18"/>
                <w:szCs w:val="14"/>
                <w:lang w:val="en-US"/>
              </w:rPr>
              <w:t xml:space="preserve">Note: While the Rules 6 and 7 have been amended for the above stated changes, but as the Ann VIII, Chapter II, implementing rules 3.5 remain the same, which presents a source for very different interpretation on the application of the implanting rules, and rule indents. To very great likelihood, this will create major issues for a harmonized </w:t>
            </w:r>
            <w:r w:rsidRPr="00F97146">
              <w:rPr>
                <w:rFonts w:ascii="Aptos" w:hAnsi="Aptos" w:cs="Segoe UI"/>
                <w:sz w:val="18"/>
                <w:szCs w:val="14"/>
                <w:lang w:val="en-US"/>
              </w:rPr>
              <w:lastRenderedPageBreak/>
              <w:t>interpretation across stakeholders and is prone to a great inefficiency in the implementation and application.</w:t>
            </w:r>
          </w:p>
        </w:tc>
        <w:tc>
          <w:tcPr>
            <w:tcW w:w="5528" w:type="dxa"/>
            <w:tcBorders>
              <w:top w:val="single" w:sz="4" w:space="0" w:color="auto"/>
              <w:left w:val="single" w:sz="4" w:space="0" w:color="auto"/>
              <w:bottom w:val="single" w:sz="4" w:space="0" w:color="auto"/>
              <w:right w:val="single" w:sz="4" w:space="0" w:color="auto"/>
            </w:tcBorders>
          </w:tcPr>
          <w:p w14:paraId="2E37E7EA" w14:textId="77777777" w:rsidR="00F26E61" w:rsidRPr="00F97146" w:rsidRDefault="00F26E61" w:rsidP="00407A8E">
            <w:pPr>
              <w:spacing w:line="240" w:lineRule="auto"/>
              <w:rPr>
                <w:rFonts w:eastAsia="Times New Roman" w:cs="Segoe UI"/>
                <w:iCs w:val="0"/>
                <w:sz w:val="18"/>
                <w:szCs w:val="14"/>
              </w:rPr>
            </w:pPr>
            <w:r w:rsidRPr="00F97146">
              <w:rPr>
                <w:rFonts w:eastAsia="Times New Roman" w:cs="Segoe UI"/>
                <w:iCs w:val="0"/>
                <w:sz w:val="18"/>
                <w:szCs w:val="14"/>
              </w:rPr>
              <w:lastRenderedPageBreak/>
              <w:t xml:space="preserve">Delete </w:t>
            </w:r>
            <w:r w:rsidRPr="00F97146">
              <w:rPr>
                <w:rFonts w:eastAsia="Wingdings" w:cs="Segoe UI"/>
                <w:iCs w:val="0"/>
                <w:sz w:val="18"/>
                <w:szCs w:val="14"/>
              </w:rPr>
              <w:t>the proposed text in (c) and (d).</w:t>
            </w:r>
            <w:r w:rsidRPr="00F97146">
              <w:rPr>
                <w:rFonts w:eastAsia="Times New Roman" w:cs="Segoe UI"/>
                <w:iCs w:val="0"/>
                <w:sz w:val="18"/>
                <w:szCs w:val="14"/>
              </w:rPr>
              <w:t xml:space="preserve"> </w:t>
            </w:r>
          </w:p>
          <w:p w14:paraId="31C8C763" w14:textId="77777777" w:rsidR="00F26E61" w:rsidRPr="00F97146" w:rsidRDefault="00F26E61" w:rsidP="00407A8E">
            <w:pPr>
              <w:spacing w:line="240" w:lineRule="auto"/>
              <w:rPr>
                <w:rFonts w:eastAsia="Times New Roman" w:cs="Segoe UI"/>
                <w:iCs w:val="0"/>
                <w:sz w:val="18"/>
                <w:szCs w:val="14"/>
              </w:rPr>
            </w:pPr>
          </w:p>
          <w:p w14:paraId="7E95FBF6" w14:textId="77777777" w:rsidR="00F26E61" w:rsidRPr="00F97146" w:rsidRDefault="00F26E61" w:rsidP="00407A8E">
            <w:pPr>
              <w:pStyle w:val="ISOSecretObservations"/>
              <w:spacing w:before="60" w:line="240" w:lineRule="auto"/>
              <w:rPr>
                <w:rFonts w:ascii="Aptos" w:hAnsi="Aptos" w:cs="Segoe UI"/>
                <w:sz w:val="18"/>
                <w:szCs w:val="14"/>
                <w:lang w:val="en-US"/>
              </w:rPr>
            </w:pPr>
            <w:r w:rsidRPr="00F97146">
              <w:rPr>
                <w:rFonts w:ascii="Aptos" w:hAnsi="Aptos" w:cs="Segoe UI"/>
                <w:sz w:val="18"/>
                <w:szCs w:val="14"/>
              </w:rPr>
              <w:t xml:space="preserve">Reinstate the existing wording for Rules 6 and 7. </w:t>
            </w:r>
          </w:p>
        </w:tc>
      </w:tr>
    </w:tbl>
    <w:p w14:paraId="46B5F7F5" w14:textId="77777777" w:rsidR="00F26E61" w:rsidRDefault="00F26E61" w:rsidP="00F26E61"/>
    <w:p w14:paraId="4DF65CB4" w14:textId="77777777" w:rsidR="00F26E61" w:rsidRDefault="00F26E61" w:rsidP="00F26E61">
      <w:r>
        <w:br w:type="page"/>
      </w:r>
    </w:p>
    <w:tbl>
      <w:tblPr>
        <w:tblW w:w="1516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8" w:type="dxa"/>
          <w:right w:w="48" w:type="dxa"/>
        </w:tblCellMar>
        <w:tblLook w:val="04A0" w:firstRow="1" w:lastRow="0" w:firstColumn="1" w:lastColumn="0" w:noHBand="0" w:noVBand="1"/>
      </w:tblPr>
      <w:tblGrid>
        <w:gridCol w:w="568"/>
        <w:gridCol w:w="1132"/>
        <w:gridCol w:w="1106"/>
        <w:gridCol w:w="1148"/>
        <w:gridCol w:w="1150"/>
        <w:gridCol w:w="4813"/>
        <w:gridCol w:w="5251"/>
      </w:tblGrid>
      <w:tr w:rsidR="00F26E61" w:rsidRPr="00F97146" w14:paraId="3309D46C" w14:textId="77777777" w:rsidTr="0022597C">
        <w:trPr>
          <w:trHeight w:val="324"/>
          <w:tblHeader/>
        </w:trPr>
        <w:tc>
          <w:tcPr>
            <w:tcW w:w="568" w:type="dxa"/>
            <w:tcBorders>
              <w:top w:val="single" w:sz="4" w:space="0" w:color="auto"/>
              <w:left w:val="single" w:sz="4" w:space="0" w:color="auto"/>
              <w:bottom w:val="single" w:sz="4" w:space="0" w:color="auto"/>
              <w:right w:val="single" w:sz="4" w:space="0" w:color="auto"/>
            </w:tcBorders>
          </w:tcPr>
          <w:p w14:paraId="7F4F320A" w14:textId="77777777" w:rsidR="00F26E61" w:rsidRPr="00F97146" w:rsidRDefault="00F26E61" w:rsidP="00407A8E">
            <w:pPr>
              <w:spacing w:line="276" w:lineRule="auto"/>
              <w:ind w:left="-48" w:firstLine="6"/>
              <w:jc w:val="center"/>
              <w:rPr>
                <w:rFonts w:eastAsia="Segoe UI" w:cs="Segoe UI"/>
                <w:b/>
                <w:bCs/>
                <w:iCs w:val="0"/>
                <w:sz w:val="18"/>
                <w:szCs w:val="14"/>
              </w:rPr>
            </w:pPr>
            <w:r w:rsidRPr="00F97146">
              <w:rPr>
                <w:rFonts w:eastAsia="Segoe UI" w:cs="Segoe UI"/>
                <w:b/>
                <w:bCs/>
                <w:iCs w:val="0"/>
                <w:sz w:val="18"/>
                <w:szCs w:val="14"/>
              </w:rPr>
              <w:lastRenderedPageBreak/>
              <w:t>Ref</w:t>
            </w:r>
          </w:p>
        </w:tc>
        <w:tc>
          <w:tcPr>
            <w:tcW w:w="1132" w:type="dxa"/>
            <w:tcBorders>
              <w:top w:val="single" w:sz="4" w:space="0" w:color="auto"/>
              <w:left w:val="single" w:sz="4" w:space="0" w:color="auto"/>
              <w:bottom w:val="single" w:sz="4" w:space="0" w:color="auto"/>
              <w:right w:val="single" w:sz="4" w:space="0" w:color="auto"/>
            </w:tcBorders>
          </w:tcPr>
          <w:p w14:paraId="1C3FA2DF" w14:textId="77777777" w:rsidR="00F26E61" w:rsidRPr="00F97146" w:rsidRDefault="00F26E61" w:rsidP="00407A8E">
            <w:pPr>
              <w:spacing w:line="276" w:lineRule="auto"/>
              <w:ind w:left="-48" w:firstLine="6"/>
              <w:jc w:val="center"/>
              <w:rPr>
                <w:rFonts w:eastAsia="Segoe UI" w:cs="Segoe UI"/>
                <w:b/>
                <w:bCs/>
                <w:iCs w:val="0"/>
                <w:sz w:val="18"/>
                <w:szCs w:val="14"/>
              </w:rPr>
            </w:pPr>
            <w:r w:rsidRPr="00F97146">
              <w:rPr>
                <w:rFonts w:eastAsia="Segoe UI" w:cs="Segoe UI"/>
                <w:b/>
                <w:bCs/>
                <w:iCs w:val="0"/>
                <w:sz w:val="18"/>
                <w:szCs w:val="14"/>
              </w:rPr>
              <w:t>Page no. Proposal</w:t>
            </w:r>
          </w:p>
        </w:tc>
        <w:tc>
          <w:tcPr>
            <w:tcW w:w="1106" w:type="dxa"/>
            <w:tcBorders>
              <w:top w:val="single" w:sz="4" w:space="0" w:color="auto"/>
              <w:left w:val="single" w:sz="4" w:space="0" w:color="auto"/>
              <w:bottom w:val="single" w:sz="4" w:space="0" w:color="auto"/>
              <w:right w:val="single" w:sz="4" w:space="0" w:color="auto"/>
            </w:tcBorders>
          </w:tcPr>
          <w:p w14:paraId="5057F497" w14:textId="77777777" w:rsidR="00F26E61" w:rsidRPr="00F97146" w:rsidRDefault="00F26E61" w:rsidP="00407A8E">
            <w:pPr>
              <w:spacing w:line="276" w:lineRule="auto"/>
              <w:ind w:left="75"/>
              <w:jc w:val="center"/>
              <w:rPr>
                <w:rFonts w:eastAsia="Segoe UI" w:cs="Segoe UI"/>
                <w:b/>
                <w:bCs/>
                <w:iCs w:val="0"/>
                <w:sz w:val="18"/>
                <w:szCs w:val="14"/>
              </w:rPr>
            </w:pPr>
            <w:r w:rsidRPr="00F97146">
              <w:rPr>
                <w:rFonts w:eastAsia="Segoe UI" w:cs="Segoe UI"/>
                <w:b/>
                <w:bCs/>
                <w:iCs w:val="0"/>
                <w:sz w:val="18"/>
                <w:szCs w:val="14"/>
              </w:rPr>
              <w:t>Art</w:t>
            </w:r>
          </w:p>
          <w:p w14:paraId="594F2BCE" w14:textId="77777777" w:rsidR="00F26E61" w:rsidRPr="00F97146" w:rsidRDefault="00F26E61" w:rsidP="00407A8E">
            <w:pPr>
              <w:spacing w:line="276" w:lineRule="auto"/>
              <w:ind w:left="75"/>
              <w:jc w:val="center"/>
              <w:rPr>
                <w:rFonts w:eastAsia="Segoe UI" w:cs="Segoe UI"/>
                <w:b/>
                <w:bCs/>
                <w:iCs w:val="0"/>
                <w:sz w:val="18"/>
                <w:szCs w:val="14"/>
              </w:rPr>
            </w:pPr>
            <w:r w:rsidRPr="00F97146">
              <w:rPr>
                <w:rFonts w:eastAsia="Segoe UI" w:cs="Segoe UI"/>
                <w:b/>
                <w:bCs/>
                <w:iCs w:val="0"/>
                <w:sz w:val="18"/>
                <w:szCs w:val="14"/>
              </w:rPr>
              <w:t>/Annex</w:t>
            </w:r>
          </w:p>
        </w:tc>
        <w:tc>
          <w:tcPr>
            <w:tcW w:w="1148" w:type="dxa"/>
            <w:tcBorders>
              <w:top w:val="single" w:sz="4" w:space="0" w:color="auto"/>
              <w:left w:val="single" w:sz="4" w:space="0" w:color="auto"/>
              <w:bottom w:val="single" w:sz="4" w:space="0" w:color="auto"/>
              <w:right w:val="single" w:sz="4" w:space="0" w:color="auto"/>
            </w:tcBorders>
          </w:tcPr>
          <w:p w14:paraId="4D506DB4" w14:textId="77777777" w:rsidR="00F26E61" w:rsidRPr="00F97146" w:rsidRDefault="00F26E61" w:rsidP="00407A8E">
            <w:pPr>
              <w:spacing w:before="60"/>
              <w:jc w:val="center"/>
              <w:rPr>
                <w:rFonts w:eastAsia="Segoe UI" w:cs="Segoe UI"/>
                <w:b/>
                <w:bCs/>
                <w:iCs w:val="0"/>
                <w:sz w:val="18"/>
                <w:szCs w:val="14"/>
              </w:rPr>
            </w:pPr>
            <w:r w:rsidRPr="00F97146">
              <w:rPr>
                <w:rFonts w:eastAsia="Segoe UI" w:cs="Segoe UI"/>
                <w:b/>
                <w:bCs/>
                <w:iCs w:val="0"/>
                <w:sz w:val="18"/>
                <w:szCs w:val="14"/>
              </w:rPr>
              <w:t>Clause/</w:t>
            </w:r>
            <w:r w:rsidRPr="00F97146">
              <w:rPr>
                <w:rFonts w:eastAsia="Segoe UI" w:cs="Segoe UI"/>
                <w:b/>
                <w:bCs/>
                <w:iCs w:val="0"/>
                <w:sz w:val="18"/>
                <w:szCs w:val="14"/>
              </w:rPr>
              <w:br/>
              <w:t>Subclause -Proposal</w:t>
            </w:r>
          </w:p>
        </w:tc>
        <w:tc>
          <w:tcPr>
            <w:tcW w:w="1150" w:type="dxa"/>
            <w:tcBorders>
              <w:top w:val="single" w:sz="4" w:space="0" w:color="auto"/>
              <w:left w:val="single" w:sz="4" w:space="0" w:color="auto"/>
              <w:bottom w:val="single" w:sz="4" w:space="0" w:color="auto"/>
              <w:right w:val="single" w:sz="4" w:space="0" w:color="auto"/>
            </w:tcBorders>
          </w:tcPr>
          <w:p w14:paraId="218D7380" w14:textId="77777777" w:rsidR="00F26E61" w:rsidRPr="00F97146" w:rsidRDefault="00F26E61" w:rsidP="00407A8E">
            <w:pPr>
              <w:spacing w:before="60"/>
              <w:jc w:val="center"/>
              <w:rPr>
                <w:rFonts w:eastAsia="Segoe UI" w:cs="Segoe UI"/>
                <w:b/>
                <w:bCs/>
                <w:iCs w:val="0"/>
                <w:sz w:val="18"/>
                <w:szCs w:val="14"/>
                <w:lang w:val="en-US"/>
              </w:rPr>
            </w:pPr>
            <w:r w:rsidRPr="00F97146">
              <w:rPr>
                <w:rFonts w:eastAsia="Segoe UI" w:cs="Segoe UI"/>
                <w:b/>
                <w:bCs/>
                <w:iCs w:val="0"/>
                <w:sz w:val="18"/>
                <w:szCs w:val="14"/>
                <w:lang w:val="en-US"/>
              </w:rPr>
              <w:t>Point and Paragraph -Regulation</w:t>
            </w:r>
          </w:p>
        </w:tc>
        <w:tc>
          <w:tcPr>
            <w:tcW w:w="4813" w:type="dxa"/>
            <w:tcBorders>
              <w:top w:val="single" w:sz="4" w:space="0" w:color="auto"/>
              <w:left w:val="single" w:sz="4" w:space="0" w:color="auto"/>
              <w:bottom w:val="single" w:sz="4" w:space="0" w:color="auto"/>
              <w:right w:val="single" w:sz="4" w:space="0" w:color="auto"/>
            </w:tcBorders>
          </w:tcPr>
          <w:p w14:paraId="4A94B88F" w14:textId="77777777" w:rsidR="00F26E61" w:rsidRPr="00F97146" w:rsidRDefault="00F26E61" w:rsidP="00407A8E">
            <w:pPr>
              <w:jc w:val="center"/>
              <w:rPr>
                <w:rFonts w:eastAsia="Segoe UI" w:cs="Segoe UI"/>
                <w:b/>
                <w:bCs/>
                <w:iCs w:val="0"/>
                <w:sz w:val="18"/>
                <w:szCs w:val="14"/>
              </w:rPr>
            </w:pPr>
            <w:r w:rsidRPr="00F97146">
              <w:rPr>
                <w:rFonts w:eastAsia="Segoe UI" w:cs="Segoe UI"/>
                <w:b/>
                <w:bCs/>
                <w:iCs w:val="0"/>
                <w:sz w:val="18"/>
                <w:szCs w:val="14"/>
              </w:rPr>
              <w:t>Comments</w:t>
            </w:r>
          </w:p>
        </w:tc>
        <w:tc>
          <w:tcPr>
            <w:tcW w:w="5251" w:type="dxa"/>
            <w:tcBorders>
              <w:top w:val="single" w:sz="4" w:space="0" w:color="auto"/>
              <w:left w:val="single" w:sz="4" w:space="0" w:color="auto"/>
              <w:bottom w:val="single" w:sz="4" w:space="0" w:color="auto"/>
              <w:right w:val="single" w:sz="4" w:space="0" w:color="auto"/>
            </w:tcBorders>
          </w:tcPr>
          <w:p w14:paraId="46793598" w14:textId="77777777" w:rsidR="00F26E61" w:rsidRPr="00F97146" w:rsidRDefault="00F26E61" w:rsidP="00407A8E">
            <w:pPr>
              <w:spacing w:before="60"/>
              <w:jc w:val="center"/>
              <w:rPr>
                <w:rFonts w:eastAsia="Segoe UI" w:cs="Segoe UI"/>
                <w:b/>
                <w:bCs/>
                <w:iCs w:val="0"/>
                <w:sz w:val="18"/>
                <w:szCs w:val="14"/>
              </w:rPr>
            </w:pPr>
            <w:r w:rsidRPr="00F97146">
              <w:rPr>
                <w:rFonts w:eastAsia="Segoe UI" w:cs="Segoe UI"/>
                <w:b/>
                <w:bCs/>
                <w:iCs w:val="0"/>
                <w:sz w:val="18"/>
                <w:szCs w:val="14"/>
              </w:rPr>
              <w:t>Proposed change</w:t>
            </w:r>
          </w:p>
        </w:tc>
      </w:tr>
      <w:tr w:rsidR="00F26E61" w:rsidRPr="00F97146" w14:paraId="50E42A58" w14:textId="77777777" w:rsidTr="0022597C">
        <w:trPr>
          <w:trHeight w:val="324"/>
        </w:trPr>
        <w:tc>
          <w:tcPr>
            <w:tcW w:w="568" w:type="dxa"/>
          </w:tcPr>
          <w:p w14:paraId="1B2702A9" w14:textId="77777777" w:rsidR="00F26E61" w:rsidRPr="00F97146" w:rsidRDefault="00F26E61" w:rsidP="00407A8E">
            <w:pPr>
              <w:spacing w:line="276" w:lineRule="auto"/>
              <w:ind w:left="-48" w:firstLine="6"/>
              <w:jc w:val="center"/>
              <w:rPr>
                <w:rFonts w:eastAsia="Segoe UI" w:cs="Segoe UI"/>
                <w:iCs w:val="0"/>
                <w:sz w:val="18"/>
                <w:szCs w:val="14"/>
              </w:rPr>
            </w:pPr>
            <w:r w:rsidRPr="00F97146">
              <w:rPr>
                <w:rFonts w:eastAsia="Segoe UI" w:cs="Segoe UI"/>
                <w:iCs w:val="0"/>
                <w:sz w:val="18"/>
                <w:szCs w:val="14"/>
              </w:rPr>
              <w:t>55</w:t>
            </w:r>
          </w:p>
        </w:tc>
        <w:tc>
          <w:tcPr>
            <w:tcW w:w="1132" w:type="dxa"/>
            <w:tcBorders>
              <w:top w:val="single" w:sz="4" w:space="0" w:color="auto"/>
              <w:left w:val="single" w:sz="4" w:space="0" w:color="auto"/>
              <w:bottom w:val="single" w:sz="4" w:space="0" w:color="auto"/>
              <w:right w:val="single" w:sz="4" w:space="0" w:color="auto"/>
            </w:tcBorders>
          </w:tcPr>
          <w:p w14:paraId="429DD58D" w14:textId="77777777" w:rsidR="00F26E61" w:rsidRPr="00F97146" w:rsidRDefault="00F26E61" w:rsidP="00407A8E">
            <w:pPr>
              <w:spacing w:line="276" w:lineRule="auto"/>
              <w:ind w:left="-48" w:firstLine="6"/>
              <w:jc w:val="center"/>
              <w:rPr>
                <w:rFonts w:eastAsia="Segoe UI" w:cs="Segoe UI"/>
                <w:iCs w:val="0"/>
                <w:sz w:val="18"/>
                <w:szCs w:val="14"/>
              </w:rPr>
            </w:pPr>
            <w:r w:rsidRPr="00F97146">
              <w:rPr>
                <w:rFonts w:eastAsia="Segoe UI" w:cs="Segoe UI"/>
                <w:iCs w:val="0"/>
                <w:sz w:val="18"/>
                <w:szCs w:val="14"/>
              </w:rPr>
              <w:t>13, 35</w:t>
            </w:r>
          </w:p>
        </w:tc>
        <w:tc>
          <w:tcPr>
            <w:tcW w:w="1106" w:type="dxa"/>
            <w:tcBorders>
              <w:top w:val="single" w:sz="4" w:space="0" w:color="auto"/>
              <w:left w:val="single" w:sz="4" w:space="0" w:color="auto"/>
              <w:bottom w:val="single" w:sz="4" w:space="0" w:color="auto"/>
              <w:right w:val="single" w:sz="4" w:space="0" w:color="auto"/>
            </w:tcBorders>
          </w:tcPr>
          <w:p w14:paraId="3C1658FD" w14:textId="77777777" w:rsidR="00F26E61" w:rsidRPr="00844514" w:rsidRDefault="00F26E61" w:rsidP="00407A8E">
            <w:pPr>
              <w:spacing w:line="276" w:lineRule="auto"/>
              <w:ind w:left="75"/>
              <w:jc w:val="center"/>
              <w:rPr>
                <w:rFonts w:eastAsia="Segoe UI" w:cs="Segoe UI"/>
                <w:iCs w:val="0"/>
                <w:sz w:val="18"/>
                <w:szCs w:val="14"/>
                <w:lang w:val="de-DE"/>
              </w:rPr>
            </w:pPr>
            <w:r w:rsidRPr="00844514">
              <w:rPr>
                <w:rFonts w:eastAsia="Segoe UI" w:cs="Segoe UI"/>
                <w:iCs w:val="0"/>
                <w:sz w:val="18"/>
                <w:szCs w:val="14"/>
                <w:lang w:val="de-DE"/>
              </w:rPr>
              <w:t xml:space="preserve">MDR: Ann </w:t>
            </w:r>
          </w:p>
          <w:p w14:paraId="4060C8C9" w14:textId="77777777" w:rsidR="00F26E61" w:rsidRPr="00844514" w:rsidRDefault="00F26E61" w:rsidP="00407A8E">
            <w:pPr>
              <w:spacing w:line="276" w:lineRule="auto"/>
              <w:ind w:left="75"/>
              <w:jc w:val="center"/>
              <w:rPr>
                <w:rFonts w:eastAsia="Segoe UI" w:cs="Segoe UI"/>
                <w:iCs w:val="0"/>
                <w:sz w:val="18"/>
                <w:szCs w:val="14"/>
                <w:lang w:val="de-DE"/>
              </w:rPr>
            </w:pPr>
            <w:r w:rsidRPr="00844514">
              <w:rPr>
                <w:rFonts w:eastAsia="Segoe UI" w:cs="Segoe UI"/>
                <w:iCs w:val="0"/>
                <w:sz w:val="18"/>
                <w:szCs w:val="14"/>
                <w:lang w:val="de-DE"/>
              </w:rPr>
              <w:t>IVDR: Ann III</w:t>
            </w:r>
          </w:p>
        </w:tc>
        <w:tc>
          <w:tcPr>
            <w:tcW w:w="1148" w:type="dxa"/>
            <w:tcBorders>
              <w:top w:val="single" w:sz="4" w:space="0" w:color="auto"/>
              <w:left w:val="single" w:sz="4" w:space="0" w:color="auto"/>
              <w:bottom w:val="single" w:sz="4" w:space="0" w:color="auto"/>
              <w:right w:val="single" w:sz="4" w:space="0" w:color="auto"/>
            </w:tcBorders>
          </w:tcPr>
          <w:p w14:paraId="5C03AFEB" w14:textId="77777777" w:rsidR="00F26E61" w:rsidRPr="00F97146" w:rsidRDefault="00F26E61" w:rsidP="00407A8E">
            <w:pPr>
              <w:spacing w:before="60"/>
              <w:jc w:val="center"/>
              <w:rPr>
                <w:rFonts w:eastAsia="Segoe UI" w:cs="Segoe UI"/>
                <w:iCs w:val="0"/>
                <w:sz w:val="18"/>
                <w:szCs w:val="14"/>
              </w:rPr>
            </w:pPr>
            <w:r w:rsidRPr="00F97146">
              <w:rPr>
                <w:rFonts w:eastAsia="Segoe UI" w:cs="Segoe UI"/>
                <w:iCs w:val="0"/>
                <w:sz w:val="18"/>
                <w:szCs w:val="14"/>
              </w:rPr>
              <w:t>MDR: 7</w:t>
            </w:r>
          </w:p>
          <w:p w14:paraId="1480AF9A" w14:textId="77777777" w:rsidR="00F26E61" w:rsidRPr="00F97146" w:rsidRDefault="00F26E61" w:rsidP="00407A8E">
            <w:pPr>
              <w:spacing w:before="60"/>
              <w:jc w:val="center"/>
              <w:rPr>
                <w:rFonts w:eastAsia="Segoe UI" w:cs="Segoe UI"/>
                <w:iCs w:val="0"/>
                <w:sz w:val="18"/>
                <w:szCs w:val="14"/>
              </w:rPr>
            </w:pPr>
            <w:r w:rsidRPr="00F97146">
              <w:rPr>
                <w:rFonts w:eastAsia="Segoe UI" w:cs="Segoe UI"/>
                <w:iCs w:val="0"/>
                <w:sz w:val="18"/>
                <w:szCs w:val="14"/>
              </w:rPr>
              <w:t>IVDR: 6</w:t>
            </w:r>
          </w:p>
          <w:p w14:paraId="27DD69A2" w14:textId="77777777" w:rsidR="00F26E61" w:rsidRPr="00F97146" w:rsidRDefault="00F26E61" w:rsidP="00407A8E">
            <w:pPr>
              <w:spacing w:before="60"/>
              <w:rPr>
                <w:rFonts w:eastAsia="Segoe UI" w:cs="Segoe UI"/>
                <w:iCs w:val="0"/>
                <w:sz w:val="18"/>
                <w:szCs w:val="14"/>
              </w:rPr>
            </w:pPr>
          </w:p>
        </w:tc>
        <w:tc>
          <w:tcPr>
            <w:tcW w:w="1150" w:type="dxa"/>
            <w:tcBorders>
              <w:top w:val="single" w:sz="4" w:space="0" w:color="auto"/>
              <w:left w:val="single" w:sz="4" w:space="0" w:color="auto"/>
              <w:bottom w:val="single" w:sz="4" w:space="0" w:color="auto"/>
              <w:right w:val="single" w:sz="4" w:space="0" w:color="auto"/>
            </w:tcBorders>
          </w:tcPr>
          <w:p w14:paraId="742A38A6" w14:textId="77777777" w:rsidR="00F26E61" w:rsidRPr="00F97146" w:rsidDel="008B49C7" w:rsidRDefault="00F26E61" w:rsidP="00407A8E">
            <w:pPr>
              <w:spacing w:before="60"/>
              <w:jc w:val="center"/>
              <w:rPr>
                <w:rFonts w:eastAsia="Segoe UI" w:cs="Segoe UI"/>
                <w:iCs w:val="0"/>
                <w:sz w:val="18"/>
                <w:szCs w:val="14"/>
                <w:lang w:val="en-US"/>
              </w:rPr>
            </w:pPr>
            <w:r w:rsidRPr="00F97146" w:rsidDel="008B49C7">
              <w:rPr>
                <w:rFonts w:eastAsia="Segoe UI" w:cs="Segoe UI"/>
                <w:iCs w:val="0"/>
                <w:sz w:val="18"/>
                <w:szCs w:val="14"/>
                <w:lang w:val="en-US"/>
              </w:rPr>
              <w:t>TD assessment sampling</w:t>
            </w:r>
          </w:p>
          <w:p w14:paraId="12CC3F7A" w14:textId="77777777" w:rsidR="00F26E61" w:rsidRPr="00F97146" w:rsidRDefault="00F26E61" w:rsidP="00407A8E">
            <w:pPr>
              <w:jc w:val="center"/>
              <w:rPr>
                <w:rFonts w:eastAsia="Segoe UI" w:cs="Segoe UI"/>
                <w:iCs w:val="0"/>
                <w:sz w:val="18"/>
                <w:szCs w:val="14"/>
              </w:rPr>
            </w:pPr>
            <w:r w:rsidRPr="00F97146" w:rsidDel="008B49C7">
              <w:rPr>
                <w:rFonts w:eastAsia="Segoe UI" w:cs="Segoe UI"/>
                <w:b/>
                <w:bCs/>
                <w:iCs w:val="0"/>
                <w:sz w:val="18"/>
                <w:szCs w:val="14"/>
                <w:lang w:val="en-US"/>
              </w:rPr>
              <w:t>Initial certification</w:t>
            </w:r>
          </w:p>
        </w:tc>
        <w:tc>
          <w:tcPr>
            <w:tcW w:w="4813" w:type="dxa"/>
            <w:tcBorders>
              <w:top w:val="single" w:sz="4" w:space="0" w:color="auto"/>
              <w:left w:val="single" w:sz="4" w:space="0" w:color="auto"/>
              <w:bottom w:val="single" w:sz="4" w:space="0" w:color="auto"/>
              <w:right w:val="single" w:sz="4" w:space="0" w:color="auto"/>
            </w:tcBorders>
          </w:tcPr>
          <w:p w14:paraId="40ABF8DF" w14:textId="77777777" w:rsidR="00F26E61" w:rsidRPr="00F97146" w:rsidRDefault="00F26E61" w:rsidP="00407A8E">
            <w:pPr>
              <w:rPr>
                <w:rFonts w:eastAsia="Segoe UI" w:cs="Segoe UI"/>
                <w:iCs w:val="0"/>
                <w:sz w:val="18"/>
                <w:szCs w:val="14"/>
              </w:rPr>
            </w:pPr>
            <w:r w:rsidRPr="00F97146">
              <w:rPr>
                <w:rFonts w:eastAsia="Segoe UI" w:cs="Segoe UI"/>
                <w:iCs w:val="0"/>
                <w:sz w:val="18"/>
                <w:szCs w:val="14"/>
              </w:rPr>
              <w:t>TD assessment sampling – initial</w:t>
            </w:r>
          </w:p>
          <w:p w14:paraId="20775CC7" w14:textId="77777777" w:rsidR="00F26E61" w:rsidRPr="00F97146" w:rsidRDefault="00F26E61" w:rsidP="00407A8E">
            <w:pPr>
              <w:rPr>
                <w:rFonts w:eastAsia="Segoe UI" w:cs="Segoe UI"/>
                <w:b/>
                <w:bCs/>
                <w:iCs w:val="0"/>
                <w:sz w:val="18"/>
                <w:szCs w:val="14"/>
              </w:rPr>
            </w:pPr>
            <w:r w:rsidRPr="00F97146">
              <w:rPr>
                <w:rFonts w:eastAsia="Segoe UI" w:cs="Segoe UI"/>
                <w:b/>
                <w:bCs/>
                <w:iCs w:val="0"/>
                <w:sz w:val="18"/>
                <w:szCs w:val="14"/>
              </w:rPr>
              <w:t>MDR</w:t>
            </w:r>
          </w:p>
          <w:p w14:paraId="1E2F0900" w14:textId="77777777" w:rsidR="00F26E61" w:rsidRPr="00F97146" w:rsidRDefault="00F26E61" w:rsidP="00407A8E">
            <w:pPr>
              <w:rPr>
                <w:rFonts w:eastAsia="Segoe UI" w:cs="Segoe UI"/>
                <w:iCs w:val="0"/>
                <w:sz w:val="18"/>
                <w:szCs w:val="14"/>
              </w:rPr>
            </w:pPr>
            <w:r w:rsidRPr="00F97146">
              <w:rPr>
                <w:rFonts w:eastAsia="Segoe UI" w:cs="Segoe UI"/>
                <w:iCs w:val="0"/>
                <w:sz w:val="18"/>
                <w:szCs w:val="14"/>
              </w:rPr>
              <w:t xml:space="preserve">The proposal suggests installing a sampling mechanism for initial certification which will fall back to the level prior to the MDR and IVDR, and/or even below the former </w:t>
            </w:r>
            <w:r>
              <w:rPr>
                <w:rFonts w:eastAsia="Segoe UI" w:cs="Segoe UI"/>
                <w:iCs w:val="0"/>
                <w:sz w:val="18"/>
                <w:szCs w:val="14"/>
              </w:rPr>
              <w:t>D</w:t>
            </w:r>
            <w:r w:rsidRPr="00F97146">
              <w:rPr>
                <w:rFonts w:eastAsia="Segoe UI" w:cs="Segoe UI"/>
                <w:iCs w:val="0"/>
                <w:sz w:val="18"/>
                <w:szCs w:val="14"/>
              </w:rPr>
              <w:t>irectives.</w:t>
            </w:r>
          </w:p>
          <w:p w14:paraId="0D78FC27" w14:textId="77777777" w:rsidR="00F26E61" w:rsidRPr="00F97146" w:rsidRDefault="00F26E61" w:rsidP="00407A8E">
            <w:pPr>
              <w:rPr>
                <w:rFonts w:eastAsia="Segoe UI" w:cs="Segoe UI"/>
                <w:iCs w:val="0"/>
                <w:sz w:val="18"/>
                <w:szCs w:val="14"/>
              </w:rPr>
            </w:pPr>
          </w:p>
          <w:p w14:paraId="756E0BA7" w14:textId="77777777" w:rsidR="00F26E61" w:rsidRPr="00F97146" w:rsidRDefault="00F26E61" w:rsidP="00407A8E">
            <w:pPr>
              <w:rPr>
                <w:rFonts w:eastAsia="Segoe UI" w:cs="Segoe UI"/>
                <w:iCs w:val="0"/>
                <w:sz w:val="18"/>
                <w:szCs w:val="14"/>
              </w:rPr>
            </w:pPr>
            <w:r w:rsidRPr="00F97146">
              <w:rPr>
                <w:rFonts w:eastAsia="Segoe UI" w:cs="Segoe UI"/>
                <w:iCs w:val="0"/>
                <w:sz w:val="18"/>
                <w:szCs w:val="14"/>
              </w:rPr>
              <w:t>Comparison:</w:t>
            </w:r>
          </w:p>
          <w:p w14:paraId="19C1FB4F" w14:textId="77777777" w:rsidR="00F26E61" w:rsidRPr="00F97146" w:rsidRDefault="00F26E61" w:rsidP="00F26E61">
            <w:pPr>
              <w:pStyle w:val="Paragraphedeliste"/>
              <w:numPr>
                <w:ilvl w:val="0"/>
                <w:numId w:val="93"/>
              </w:numPr>
              <w:spacing w:after="0"/>
              <w:rPr>
                <w:rFonts w:eastAsia="Segoe UI" w:cs="Segoe UI"/>
                <w:iCs w:val="0"/>
                <w:sz w:val="18"/>
                <w:szCs w:val="14"/>
              </w:rPr>
            </w:pPr>
            <w:r w:rsidRPr="00F97146">
              <w:rPr>
                <w:rFonts w:eastAsia="Segoe UI" w:cs="Segoe UI"/>
                <w:iCs w:val="0"/>
                <w:sz w:val="18"/>
                <w:szCs w:val="14"/>
              </w:rPr>
              <w:t>Proposal: Class III WET devices – initial TD sampling on representative basis (here as understood as EMDN L4 – when leaning on MDCG 2019-13).</w:t>
            </w:r>
          </w:p>
          <w:p w14:paraId="41D2C012" w14:textId="77777777" w:rsidR="00F26E61" w:rsidRPr="00F97146" w:rsidRDefault="00F26E61" w:rsidP="00F26E61">
            <w:pPr>
              <w:pStyle w:val="Paragraphedeliste"/>
              <w:numPr>
                <w:ilvl w:val="0"/>
                <w:numId w:val="93"/>
              </w:numPr>
              <w:spacing w:after="0"/>
              <w:rPr>
                <w:rFonts w:eastAsia="Segoe UI" w:cs="Segoe UI"/>
                <w:iCs w:val="0"/>
                <w:sz w:val="18"/>
                <w:szCs w:val="14"/>
                <w:lang w:val="en-US"/>
              </w:rPr>
            </w:pPr>
            <w:r w:rsidRPr="00F97146">
              <w:rPr>
                <w:rFonts w:eastAsia="Segoe UI" w:cs="Segoe UI"/>
                <w:iCs w:val="0"/>
                <w:sz w:val="18"/>
                <w:szCs w:val="14"/>
                <w:lang w:val="en-US"/>
              </w:rPr>
              <w:t>Initial certification assessment level is below AIMDD/MDD and current MDR</w:t>
            </w:r>
          </w:p>
          <w:p w14:paraId="4D1F391F" w14:textId="77777777" w:rsidR="00F26E61" w:rsidRPr="00F97146" w:rsidRDefault="00F26E61" w:rsidP="00F26E61">
            <w:pPr>
              <w:pStyle w:val="Paragraphedeliste"/>
              <w:numPr>
                <w:ilvl w:val="0"/>
                <w:numId w:val="93"/>
              </w:numPr>
              <w:spacing w:after="0"/>
              <w:rPr>
                <w:rFonts w:eastAsia="Segoe UI" w:cs="Segoe UI"/>
                <w:iCs w:val="0"/>
                <w:sz w:val="18"/>
                <w:szCs w:val="14"/>
                <w:lang w:val="en-US"/>
              </w:rPr>
            </w:pPr>
            <w:r w:rsidRPr="00F97146">
              <w:rPr>
                <w:rFonts w:eastAsia="Segoe UI" w:cs="Segoe UI"/>
                <w:iCs w:val="0"/>
                <w:sz w:val="18"/>
                <w:szCs w:val="14"/>
                <w:lang w:val="en-US"/>
              </w:rPr>
              <w:t>Proposal Class IIb implantable WET devices: – TD sampling on representative basis (here as understood as EMDN L4 – when leaning on MDCG 2019-13)</w:t>
            </w:r>
          </w:p>
          <w:p w14:paraId="41DF3826" w14:textId="77777777" w:rsidR="00F26E61" w:rsidRPr="00F97146" w:rsidRDefault="00F26E61" w:rsidP="00F26E61">
            <w:pPr>
              <w:pStyle w:val="Paragraphedeliste"/>
              <w:numPr>
                <w:ilvl w:val="0"/>
                <w:numId w:val="93"/>
              </w:numPr>
              <w:spacing w:after="0"/>
              <w:rPr>
                <w:rFonts w:eastAsia="Segoe UI" w:cs="Segoe UI"/>
                <w:iCs w:val="0"/>
                <w:sz w:val="18"/>
                <w:szCs w:val="14"/>
                <w:lang w:val="en-US"/>
              </w:rPr>
            </w:pPr>
            <w:r w:rsidRPr="00F97146">
              <w:rPr>
                <w:rFonts w:eastAsia="Segoe UI" w:cs="Segoe UI"/>
                <w:iCs w:val="0"/>
                <w:sz w:val="18"/>
                <w:szCs w:val="14"/>
                <w:lang w:val="en-US"/>
              </w:rPr>
              <w:t>Initial certification assessment level is below current MDR</w:t>
            </w:r>
          </w:p>
          <w:p w14:paraId="2B79D423" w14:textId="77777777" w:rsidR="00F26E61" w:rsidRPr="00F97146" w:rsidRDefault="00F26E61" w:rsidP="00F26E61">
            <w:pPr>
              <w:pStyle w:val="Paragraphedeliste"/>
              <w:numPr>
                <w:ilvl w:val="0"/>
                <w:numId w:val="93"/>
              </w:numPr>
              <w:spacing w:after="0"/>
              <w:rPr>
                <w:rFonts w:eastAsia="Segoe UI" w:cs="Segoe UI"/>
                <w:iCs w:val="0"/>
                <w:sz w:val="18"/>
                <w:szCs w:val="14"/>
                <w:lang w:val="en-US"/>
              </w:rPr>
            </w:pPr>
            <w:r w:rsidRPr="00F97146">
              <w:rPr>
                <w:rFonts w:eastAsia="Segoe UI" w:cs="Segoe UI"/>
                <w:iCs w:val="0"/>
                <w:sz w:val="18"/>
                <w:szCs w:val="14"/>
                <w:lang w:val="en-US"/>
              </w:rPr>
              <w:t>Proposal Class IIb non-implantable WET devices: – TD sampling on representative basis (here as understood as MDA/MDN code level – when leaning on MDCG 2019-13)</w:t>
            </w:r>
          </w:p>
          <w:p w14:paraId="7BCBFD61" w14:textId="77777777" w:rsidR="00F26E61" w:rsidRPr="00F97146" w:rsidRDefault="00F26E61" w:rsidP="00F26E61">
            <w:pPr>
              <w:pStyle w:val="Paragraphedeliste"/>
              <w:numPr>
                <w:ilvl w:val="0"/>
                <w:numId w:val="93"/>
              </w:numPr>
              <w:spacing w:after="0"/>
              <w:rPr>
                <w:sz w:val="18"/>
                <w:szCs w:val="14"/>
                <w:lang w:val="en-US"/>
              </w:rPr>
            </w:pPr>
            <w:r w:rsidRPr="00F97146">
              <w:rPr>
                <w:rFonts w:eastAsia="Segoe UI" w:cs="Segoe UI"/>
                <w:iCs w:val="0"/>
                <w:sz w:val="18"/>
                <w:szCs w:val="14"/>
                <w:lang w:val="en-US"/>
              </w:rPr>
              <w:t>Initial certification assessment level is below MDD and current MDR</w:t>
            </w:r>
          </w:p>
          <w:p w14:paraId="5BC47B0E" w14:textId="77777777" w:rsidR="00F26E61" w:rsidRPr="00F97146" w:rsidRDefault="00F26E61" w:rsidP="00407A8E">
            <w:pPr>
              <w:spacing w:before="60"/>
              <w:rPr>
                <w:rFonts w:eastAsia="Segoe UI" w:cs="Segoe UI"/>
                <w:iCs w:val="0"/>
                <w:sz w:val="18"/>
                <w:szCs w:val="14"/>
                <w:lang w:val="en-US"/>
              </w:rPr>
            </w:pPr>
          </w:p>
          <w:p w14:paraId="1BB1BC01" w14:textId="77777777" w:rsidR="00F26E61" w:rsidRPr="00F97146" w:rsidRDefault="00F26E61" w:rsidP="00407A8E">
            <w:pPr>
              <w:rPr>
                <w:rFonts w:eastAsia="Segoe UI" w:cs="Segoe UI"/>
                <w:iCs w:val="0"/>
                <w:sz w:val="18"/>
                <w:szCs w:val="14"/>
                <w:lang w:val="en-US"/>
              </w:rPr>
            </w:pPr>
            <w:r w:rsidRPr="00F97146">
              <w:rPr>
                <w:rFonts w:eastAsia="Segoe UI" w:cs="Segoe UI"/>
                <w:iCs w:val="0"/>
                <w:sz w:val="18"/>
                <w:szCs w:val="14"/>
                <w:lang w:val="en-US"/>
              </w:rPr>
              <w:t xml:space="preserve">Generally, the coverage of the product scope for an initial certification procedure shall not be reduced, as the safety of products and well-being of patients, and users outweighs the </w:t>
            </w:r>
            <w:r w:rsidRPr="00F97146">
              <w:rPr>
                <w:rFonts w:eastAsia="Segoe UI" w:cs="Segoe UI"/>
                <w:iCs w:val="0"/>
                <w:sz w:val="18"/>
                <w:szCs w:val="14"/>
                <w:lang w:val="en-US"/>
              </w:rPr>
              <w:lastRenderedPageBreak/>
              <w:t>claimed potential. The way the proposal combines this measure with others lowers significantly the detection mechanism of non-compliant products and reduces significantly the mechanism of a systematic corrective and preventive mechanism for safeguarding EUs patient health.</w:t>
            </w:r>
          </w:p>
          <w:p w14:paraId="0C8625C4" w14:textId="77777777" w:rsidR="00F26E61" w:rsidRPr="00F97146" w:rsidRDefault="00F26E61" w:rsidP="00407A8E">
            <w:pPr>
              <w:rPr>
                <w:rFonts w:eastAsia="Segoe UI" w:cs="Segoe UI"/>
                <w:iCs w:val="0"/>
                <w:sz w:val="18"/>
                <w:szCs w:val="14"/>
                <w:lang w:val="en-US"/>
              </w:rPr>
            </w:pPr>
          </w:p>
          <w:p w14:paraId="11639AE9" w14:textId="77777777" w:rsidR="00F26E61" w:rsidRPr="00F97146" w:rsidRDefault="00F26E61" w:rsidP="00407A8E">
            <w:pPr>
              <w:rPr>
                <w:rFonts w:eastAsia="Segoe UI" w:cs="Segoe UI"/>
                <w:iCs w:val="0"/>
                <w:sz w:val="18"/>
                <w:szCs w:val="14"/>
              </w:rPr>
            </w:pPr>
            <w:r w:rsidRPr="00F97146">
              <w:rPr>
                <w:rFonts w:eastAsia="Segoe UI" w:cs="Segoe UI"/>
                <w:iCs w:val="0"/>
                <w:sz w:val="18"/>
                <w:szCs w:val="14"/>
                <w:lang w:val="en-US"/>
              </w:rPr>
              <w:t xml:space="preserve">It is unclear why “from at least one representative device” a limit has been introduced to a rigid “one” sample only. By the nature of how the EMDN code levels and the MDA/MDN codes are structured – inhomogeneous – there is no scientific and technical justification why for an inhomogeneous group of devices only one device </w:t>
            </w:r>
            <w:r w:rsidRPr="00F97146">
              <w:rPr>
                <w:rFonts w:eastAsia="Segoe UI" w:cs="Segoe UI"/>
                <w:iCs w:val="0"/>
                <w:sz w:val="18"/>
                <w:szCs w:val="14"/>
              </w:rPr>
              <w:t>can be representative to cover the entire range to grant the certification. Especially, as the codes for generic device groups and device categories are not necessarily covering devices with comparable design features, same special characteristics (MDS) and technologies (MDT).</w:t>
            </w:r>
          </w:p>
          <w:p w14:paraId="353A93CB" w14:textId="77777777" w:rsidR="00F26E61" w:rsidRPr="00F97146" w:rsidRDefault="00F26E61" w:rsidP="00407A8E">
            <w:pPr>
              <w:rPr>
                <w:rFonts w:eastAsia="Segoe UI" w:cs="Segoe UI"/>
                <w:iCs w:val="0"/>
                <w:sz w:val="18"/>
                <w:szCs w:val="14"/>
              </w:rPr>
            </w:pPr>
          </w:p>
          <w:p w14:paraId="2344A099" w14:textId="77777777" w:rsidR="00F26E61" w:rsidRPr="00F97146" w:rsidRDefault="00F26E61" w:rsidP="00407A8E">
            <w:pPr>
              <w:rPr>
                <w:rFonts w:eastAsia="Segoe UI" w:cs="Segoe UI"/>
                <w:iCs w:val="0"/>
                <w:sz w:val="18"/>
                <w:szCs w:val="14"/>
              </w:rPr>
            </w:pPr>
            <w:r w:rsidRPr="00F97146">
              <w:rPr>
                <w:rFonts w:eastAsia="Segoe UI" w:cs="Segoe UI"/>
                <w:iCs w:val="0"/>
                <w:sz w:val="18"/>
                <w:szCs w:val="14"/>
              </w:rPr>
              <w:t xml:space="preserve">Therefore, it is not clear how on that basis a </w:t>
            </w:r>
            <w:r w:rsidRPr="00F97146">
              <w:rPr>
                <w:sz w:val="18"/>
                <w:szCs w:val="14"/>
              </w:rPr>
              <w:t>NB</w:t>
            </w:r>
            <w:r w:rsidRPr="00F97146">
              <w:rPr>
                <w:rFonts w:eastAsia="Segoe UI" w:cs="Segoe UI"/>
                <w:iCs w:val="0"/>
                <w:sz w:val="18"/>
                <w:szCs w:val="14"/>
              </w:rPr>
              <w:t xml:space="preserve"> can be made liable for certification.</w:t>
            </w:r>
          </w:p>
          <w:p w14:paraId="1AD1DCDC" w14:textId="77777777" w:rsidR="00F26E61" w:rsidRPr="00F97146" w:rsidRDefault="00F26E61" w:rsidP="00407A8E">
            <w:pPr>
              <w:rPr>
                <w:rFonts w:eastAsia="Segoe UI" w:cs="Segoe UI"/>
                <w:iCs w:val="0"/>
                <w:sz w:val="18"/>
                <w:szCs w:val="14"/>
              </w:rPr>
            </w:pPr>
          </w:p>
          <w:p w14:paraId="00129E25" w14:textId="77777777" w:rsidR="00F26E61" w:rsidRPr="00F97146" w:rsidRDefault="00F26E61" w:rsidP="00407A8E">
            <w:pPr>
              <w:rPr>
                <w:rFonts w:eastAsia="Segoe UI" w:cs="Segoe UI"/>
                <w:iCs w:val="0"/>
                <w:sz w:val="18"/>
                <w:szCs w:val="14"/>
              </w:rPr>
            </w:pPr>
            <w:r w:rsidRPr="00F97146">
              <w:rPr>
                <w:rFonts w:eastAsia="Segoe UI" w:cs="Segoe UI"/>
                <w:iCs w:val="0"/>
                <w:sz w:val="18"/>
                <w:szCs w:val="14"/>
              </w:rPr>
              <w:t>Further unclarity regarding:</w:t>
            </w:r>
          </w:p>
          <w:p w14:paraId="6549AA16" w14:textId="77777777" w:rsidR="00F26E61" w:rsidRPr="00F97146" w:rsidRDefault="00F26E61" w:rsidP="00F26E61">
            <w:pPr>
              <w:numPr>
                <w:ilvl w:val="0"/>
                <w:numId w:val="75"/>
              </w:numPr>
              <w:spacing w:before="60" w:after="0"/>
              <w:rPr>
                <w:rFonts w:eastAsia="Segoe UI" w:cs="Segoe UI"/>
                <w:iCs w:val="0"/>
                <w:sz w:val="18"/>
                <w:szCs w:val="14"/>
              </w:rPr>
            </w:pPr>
            <w:r w:rsidRPr="00F97146">
              <w:rPr>
                <w:rFonts w:eastAsia="Segoe UI" w:cs="Segoe UI"/>
                <w:iCs w:val="0"/>
                <w:sz w:val="18"/>
                <w:szCs w:val="14"/>
              </w:rPr>
              <w:t>“one representative device” for initial sampling:</w:t>
            </w:r>
          </w:p>
          <w:p w14:paraId="560EF41F" w14:textId="77777777" w:rsidR="00F26E61" w:rsidRPr="00F97146" w:rsidRDefault="00F26E61" w:rsidP="00F26E61">
            <w:pPr>
              <w:numPr>
                <w:ilvl w:val="1"/>
                <w:numId w:val="75"/>
              </w:numPr>
              <w:spacing w:before="60" w:after="0"/>
              <w:rPr>
                <w:rFonts w:eastAsia="Segoe UI" w:cs="Segoe UI"/>
                <w:iCs w:val="0"/>
                <w:sz w:val="18"/>
                <w:szCs w:val="14"/>
              </w:rPr>
            </w:pPr>
            <w:r w:rsidRPr="00F97146">
              <w:rPr>
                <w:rFonts w:eastAsia="Segoe UI" w:cs="Segoe UI"/>
                <w:iCs w:val="0"/>
                <w:sz w:val="18"/>
                <w:szCs w:val="14"/>
              </w:rPr>
              <w:t>If understood correctly, this would mean that with a positive conclusion of conformity for 1 device a broad product scope certification will be granted across all device types*, at the same time.</w:t>
            </w:r>
          </w:p>
          <w:p w14:paraId="16B8207B" w14:textId="77777777" w:rsidR="00F26E61" w:rsidRPr="00F97146" w:rsidRDefault="00F26E61" w:rsidP="00F26E61">
            <w:pPr>
              <w:numPr>
                <w:ilvl w:val="1"/>
                <w:numId w:val="75"/>
              </w:numPr>
              <w:spacing w:before="60" w:after="0"/>
              <w:rPr>
                <w:rFonts w:eastAsia="Segoe UI" w:cs="Segoe UI"/>
                <w:iCs w:val="0"/>
                <w:sz w:val="18"/>
                <w:szCs w:val="14"/>
              </w:rPr>
            </w:pPr>
            <w:r w:rsidRPr="00F97146">
              <w:rPr>
                <w:rFonts w:eastAsia="Segoe UI" w:cs="Segoe UI"/>
                <w:iCs w:val="0"/>
                <w:sz w:val="18"/>
                <w:szCs w:val="14"/>
              </w:rPr>
              <w:lastRenderedPageBreak/>
              <w:t>with a negative conclusion of conformity no certificate for any devices is granted.</w:t>
            </w:r>
          </w:p>
          <w:p w14:paraId="30C2D2A5" w14:textId="77777777" w:rsidR="00F26E61" w:rsidRPr="00F97146" w:rsidRDefault="00F26E61" w:rsidP="00407A8E">
            <w:pPr>
              <w:spacing w:before="60"/>
              <w:rPr>
                <w:rFonts w:eastAsia="Segoe UI" w:cs="Segoe UI"/>
                <w:b/>
                <w:bCs/>
                <w:iCs w:val="0"/>
                <w:sz w:val="18"/>
                <w:szCs w:val="14"/>
                <w:lang w:val="en-US"/>
              </w:rPr>
            </w:pPr>
          </w:p>
          <w:p w14:paraId="3D17D41D" w14:textId="77777777" w:rsidR="00F26E61" w:rsidRPr="00F97146" w:rsidRDefault="00F26E61" w:rsidP="00407A8E">
            <w:pPr>
              <w:rPr>
                <w:rFonts w:eastAsia="Segoe UI" w:cs="Segoe UI"/>
                <w:iCs w:val="0"/>
                <w:sz w:val="18"/>
                <w:szCs w:val="14"/>
                <w:lang w:val="en-US"/>
              </w:rPr>
            </w:pPr>
            <w:r w:rsidRPr="00F97146">
              <w:rPr>
                <w:rFonts w:eastAsia="Segoe UI" w:cs="Segoe UI"/>
                <w:iCs w:val="0"/>
                <w:sz w:val="18"/>
                <w:szCs w:val="14"/>
                <w:lang w:val="en-US"/>
              </w:rPr>
              <w:t xml:space="preserve">*Real-life example, MDR class </w:t>
            </w:r>
            <w:proofErr w:type="spellStart"/>
            <w:r w:rsidRPr="00F97146">
              <w:rPr>
                <w:rFonts w:eastAsia="Segoe UI" w:cs="Segoe UI"/>
                <w:iCs w:val="0"/>
                <w:sz w:val="18"/>
                <w:szCs w:val="14"/>
                <w:lang w:val="en-US"/>
              </w:rPr>
              <w:t>IIa</w:t>
            </w:r>
            <w:proofErr w:type="spellEnd"/>
            <w:r w:rsidRPr="00F97146">
              <w:rPr>
                <w:rFonts w:eastAsia="Segoe UI" w:cs="Segoe UI"/>
                <w:iCs w:val="0"/>
                <w:sz w:val="18"/>
                <w:szCs w:val="14"/>
                <w:lang w:val="en-US"/>
              </w:rPr>
              <w:t>:</w:t>
            </w:r>
          </w:p>
          <w:p w14:paraId="56314403" w14:textId="77777777" w:rsidR="00F26E61" w:rsidRPr="00F97146" w:rsidRDefault="00F26E61" w:rsidP="00407A8E">
            <w:pPr>
              <w:rPr>
                <w:rFonts w:eastAsia="Segoe UI" w:cs="Segoe UI"/>
                <w:iCs w:val="0"/>
                <w:sz w:val="18"/>
                <w:szCs w:val="14"/>
                <w:lang w:val="en-US"/>
              </w:rPr>
            </w:pPr>
            <w:r w:rsidRPr="00F97146">
              <w:rPr>
                <w:rFonts w:eastAsia="Segoe UI" w:cs="Segoe UI"/>
                <w:iCs w:val="0"/>
                <w:sz w:val="18"/>
                <w:szCs w:val="14"/>
                <w:lang w:val="en-US"/>
              </w:rPr>
              <w:t xml:space="preserve">According to the new proposal the following products under class </w:t>
            </w:r>
            <w:proofErr w:type="spellStart"/>
            <w:r w:rsidRPr="00F97146">
              <w:rPr>
                <w:rFonts w:eastAsia="Segoe UI" w:cs="Segoe UI"/>
                <w:iCs w:val="0"/>
                <w:sz w:val="18"/>
                <w:szCs w:val="14"/>
                <w:lang w:val="en-US"/>
              </w:rPr>
              <w:t>IIa</w:t>
            </w:r>
            <w:proofErr w:type="spellEnd"/>
            <w:r w:rsidRPr="00F97146">
              <w:rPr>
                <w:rFonts w:eastAsia="Segoe UI" w:cs="Segoe UI"/>
                <w:iCs w:val="0"/>
                <w:sz w:val="18"/>
                <w:szCs w:val="14"/>
                <w:lang w:val="en-US"/>
              </w:rPr>
              <w:t>, e.g. under the code MDA 0312 would not be distinguished, and only 1 product of this heterogenic group shall be selected by the NB, e.g. a sampled TD for a visual system/light source (Endoscopic system) shall also cover power-driven surgical drills and saws for orthopedic procedures. Clinically and technically these product types are not comparable and require different design, manufacturing and clinical competence.</w:t>
            </w:r>
          </w:p>
          <w:p w14:paraId="3B0AFB03" w14:textId="77777777" w:rsidR="00F26E61" w:rsidRPr="00F97146" w:rsidRDefault="00F26E61" w:rsidP="00407A8E">
            <w:pPr>
              <w:rPr>
                <w:rFonts w:eastAsia="Segoe UI" w:cs="Segoe UI"/>
                <w:iCs w:val="0"/>
                <w:sz w:val="18"/>
                <w:szCs w:val="14"/>
              </w:rPr>
            </w:pPr>
          </w:p>
          <w:p w14:paraId="2F4C665A" w14:textId="77777777" w:rsidR="00F26E61" w:rsidRPr="00F97146" w:rsidRDefault="00F26E61" w:rsidP="00407A8E">
            <w:pPr>
              <w:spacing w:before="60"/>
              <w:rPr>
                <w:rFonts w:eastAsia="Segoe UI" w:cs="Segoe UI"/>
                <w:iCs w:val="0"/>
                <w:sz w:val="18"/>
                <w:szCs w:val="14"/>
                <w:lang w:val="en-US"/>
              </w:rPr>
            </w:pPr>
            <w:r w:rsidRPr="00F97146">
              <w:rPr>
                <w:rFonts w:eastAsia="Segoe UI" w:cs="Segoe UI"/>
                <w:iCs w:val="0"/>
                <w:sz w:val="18"/>
                <w:szCs w:val="14"/>
              </w:rPr>
              <w:t xml:space="preserve">It is strongly recommended to maintain the current approach of initial sampling to cover appropriately the product range which shall be certified. It is acknowledged that a leaner methodology </w:t>
            </w:r>
            <w:r>
              <w:rPr>
                <w:rFonts w:eastAsia="Segoe UI" w:cs="Segoe UI"/>
                <w:iCs w:val="0"/>
                <w:sz w:val="18"/>
                <w:szCs w:val="14"/>
              </w:rPr>
              <w:t>could</w:t>
            </w:r>
            <w:r w:rsidRPr="00F97146">
              <w:rPr>
                <w:rFonts w:eastAsia="Segoe UI" w:cs="Segoe UI"/>
                <w:iCs w:val="0"/>
                <w:sz w:val="18"/>
                <w:szCs w:val="14"/>
              </w:rPr>
              <w:t xml:space="preserve"> be used for the sampling itself.</w:t>
            </w:r>
          </w:p>
          <w:p w14:paraId="20FF5061" w14:textId="77777777" w:rsidR="00F26E61" w:rsidRPr="00F97146" w:rsidRDefault="00F26E61" w:rsidP="00407A8E">
            <w:pPr>
              <w:spacing w:before="60"/>
              <w:rPr>
                <w:rFonts w:eastAsia="Segoe UI" w:cs="Segoe UI"/>
                <w:iCs w:val="0"/>
                <w:sz w:val="18"/>
                <w:szCs w:val="14"/>
              </w:rPr>
            </w:pPr>
          </w:p>
          <w:p w14:paraId="7DBB703A" w14:textId="77777777" w:rsidR="00F26E61" w:rsidRPr="00F97146" w:rsidRDefault="00F26E61" w:rsidP="00407A8E">
            <w:pPr>
              <w:spacing w:before="60"/>
              <w:rPr>
                <w:rFonts w:eastAsia="Segoe UI" w:cs="Segoe UI"/>
                <w:iCs w:val="0"/>
                <w:sz w:val="18"/>
                <w:szCs w:val="14"/>
                <w:lang w:val="en-US"/>
              </w:rPr>
            </w:pPr>
            <w:r w:rsidRPr="00F97146">
              <w:rPr>
                <w:rFonts w:eastAsia="Segoe UI" w:cs="Segoe UI"/>
                <w:iCs w:val="0"/>
                <w:sz w:val="18"/>
                <w:szCs w:val="14"/>
                <w:lang w:val="en-US"/>
              </w:rPr>
              <w:t xml:space="preserve">Acknowledgement of already covered generic device groups” and “category of devices” for which </w:t>
            </w:r>
            <w:r w:rsidRPr="00F97146">
              <w:rPr>
                <w:rFonts w:eastAsia="Segoe UI" w:cs="Segoe UI"/>
                <w:iCs w:val="0"/>
                <w:sz w:val="18"/>
                <w:szCs w:val="14"/>
              </w:rPr>
              <w:t xml:space="preserve">the technical documentation assessment has already been conducted for every device (class III, implantable IIb non-exempted/non-WET) as specified in Section 4 of Annex IX. In </w:t>
            </w:r>
            <w:r w:rsidRPr="00F97146">
              <w:rPr>
                <w:rFonts w:eastAsia="Segoe UI" w:cs="Segoe UI"/>
                <w:iCs w:val="0"/>
                <w:sz w:val="18"/>
                <w:szCs w:val="14"/>
                <w:lang w:val="en-US"/>
              </w:rPr>
              <w:t xml:space="preserve">case the manufacturer (independent of its size) underwent already a class III or class IIb implantable TD assessment(s) (acc. Art. 52(3) and (4)), for the specific MDA/MDN codes (class </w:t>
            </w:r>
            <w:proofErr w:type="spellStart"/>
            <w:r w:rsidRPr="00F97146">
              <w:rPr>
                <w:rFonts w:eastAsia="Segoe UI" w:cs="Segoe UI"/>
                <w:iCs w:val="0"/>
                <w:sz w:val="18"/>
                <w:szCs w:val="14"/>
                <w:lang w:val="en-US"/>
              </w:rPr>
              <w:t>IIa</w:t>
            </w:r>
            <w:proofErr w:type="spellEnd"/>
            <w:r w:rsidRPr="00F97146">
              <w:rPr>
                <w:rFonts w:eastAsia="Segoe UI" w:cs="Segoe UI"/>
                <w:iCs w:val="0"/>
                <w:sz w:val="18"/>
                <w:szCs w:val="14"/>
                <w:lang w:val="en-US"/>
              </w:rPr>
              <w:t>), or EMDN code (L4) for class IIb, no additional TD</w:t>
            </w:r>
            <w:r w:rsidRPr="00F97146">
              <w:rPr>
                <w:rFonts w:cs="Segoe UI"/>
                <w:iCs w:val="0"/>
                <w:sz w:val="18"/>
                <w:szCs w:val="14"/>
                <w:lang w:val="en-US"/>
              </w:rPr>
              <w:t xml:space="preserve"> </w:t>
            </w:r>
            <w:r w:rsidRPr="00F97146">
              <w:rPr>
                <w:rFonts w:eastAsia="Segoe UI" w:cs="Segoe UI"/>
                <w:iCs w:val="0"/>
                <w:sz w:val="18"/>
                <w:szCs w:val="14"/>
                <w:lang w:val="en-US"/>
              </w:rPr>
              <w:t xml:space="preserve">sampling for </w:t>
            </w:r>
            <w:r w:rsidRPr="00F97146">
              <w:rPr>
                <w:rFonts w:eastAsia="Segoe UI" w:cs="Segoe UI"/>
                <w:iCs w:val="0"/>
                <w:sz w:val="18"/>
                <w:szCs w:val="14"/>
                <w:lang w:val="en-US"/>
              </w:rPr>
              <w:lastRenderedPageBreak/>
              <w:t xml:space="preserve">class </w:t>
            </w:r>
            <w:proofErr w:type="spellStart"/>
            <w:r w:rsidRPr="00F97146">
              <w:rPr>
                <w:rFonts w:eastAsia="Segoe UI" w:cs="Segoe UI"/>
                <w:iCs w:val="0"/>
                <w:sz w:val="18"/>
                <w:szCs w:val="14"/>
                <w:lang w:val="en-US"/>
              </w:rPr>
              <w:t>IIa</w:t>
            </w:r>
            <w:proofErr w:type="spellEnd"/>
            <w:r w:rsidRPr="00F97146">
              <w:rPr>
                <w:rFonts w:eastAsia="Segoe UI" w:cs="Segoe UI"/>
                <w:iCs w:val="0"/>
                <w:sz w:val="18"/>
                <w:szCs w:val="14"/>
                <w:lang w:val="en-US"/>
              </w:rPr>
              <w:t xml:space="preserve">/IIb have to be conducted under the initial certification procedure. </w:t>
            </w:r>
          </w:p>
          <w:p w14:paraId="1ACD5CDB" w14:textId="77777777" w:rsidR="00F26E61" w:rsidRPr="00F97146" w:rsidRDefault="00F26E61" w:rsidP="00407A8E">
            <w:pPr>
              <w:spacing w:before="60"/>
              <w:rPr>
                <w:rFonts w:eastAsia="Segoe UI" w:cs="Segoe UI"/>
                <w:iCs w:val="0"/>
                <w:sz w:val="18"/>
                <w:szCs w:val="14"/>
              </w:rPr>
            </w:pPr>
          </w:p>
          <w:p w14:paraId="536FF3BB" w14:textId="77777777" w:rsidR="00F26E61" w:rsidRPr="00F97146" w:rsidRDefault="00F26E61" w:rsidP="00407A8E">
            <w:pPr>
              <w:spacing w:before="60"/>
              <w:rPr>
                <w:rFonts w:eastAsia="Segoe UI" w:cs="Segoe UI"/>
                <w:b/>
                <w:bCs/>
                <w:iCs w:val="0"/>
                <w:sz w:val="18"/>
                <w:szCs w:val="14"/>
              </w:rPr>
            </w:pPr>
            <w:r w:rsidRPr="00F97146">
              <w:rPr>
                <w:rFonts w:eastAsia="Segoe UI" w:cs="Segoe UI"/>
                <w:b/>
                <w:bCs/>
                <w:iCs w:val="0"/>
                <w:sz w:val="18"/>
                <w:szCs w:val="14"/>
              </w:rPr>
              <w:t>IVDR</w:t>
            </w:r>
          </w:p>
          <w:p w14:paraId="08E6334A" w14:textId="77777777" w:rsidR="00F26E61" w:rsidRPr="00F97146" w:rsidRDefault="00F26E61" w:rsidP="00407A8E">
            <w:pPr>
              <w:spacing w:before="60"/>
              <w:rPr>
                <w:rFonts w:eastAsia="Segoe UI" w:cs="Segoe UI"/>
                <w:iCs w:val="0"/>
                <w:sz w:val="18"/>
                <w:szCs w:val="14"/>
              </w:rPr>
            </w:pPr>
            <w:r w:rsidRPr="00F97146">
              <w:rPr>
                <w:rFonts w:eastAsia="Segoe UI" w:cs="Segoe UI"/>
                <w:iCs w:val="0"/>
                <w:sz w:val="18"/>
                <w:szCs w:val="14"/>
              </w:rPr>
              <w:t>Commission proposal:</w:t>
            </w:r>
          </w:p>
          <w:p w14:paraId="024A5602" w14:textId="77777777" w:rsidR="00F26E61" w:rsidRPr="00F97146" w:rsidRDefault="00F26E61" w:rsidP="00407A8E">
            <w:pPr>
              <w:spacing w:before="60"/>
              <w:rPr>
                <w:rFonts w:eastAsia="Segoe UI" w:cs="Segoe UI"/>
                <w:i/>
                <w:sz w:val="18"/>
                <w:szCs w:val="14"/>
              </w:rPr>
            </w:pPr>
            <w:r w:rsidRPr="00F97146">
              <w:rPr>
                <w:rFonts w:eastAsia="Segoe UI" w:cs="Segoe UI"/>
                <w:iCs w:val="0"/>
                <w:sz w:val="18"/>
                <w:szCs w:val="14"/>
              </w:rPr>
              <w:t>“</w:t>
            </w:r>
            <w:r w:rsidRPr="00F97146">
              <w:rPr>
                <w:rFonts w:eastAsia="Segoe UI" w:cs="Segoe UI"/>
                <w:i/>
                <w:sz w:val="18"/>
                <w:szCs w:val="14"/>
              </w:rPr>
              <w:t>Moreover, in the case of class B and class C devices, the quality management system assessment shall be accompanied by the assessment of the technical documentation, as referred to in Annexes II and III, as specified in Sections 4.3. to 4.8., for a representative device selected as follows</w:t>
            </w:r>
          </w:p>
          <w:p w14:paraId="78D24013" w14:textId="77777777" w:rsidR="00F26E61" w:rsidRPr="00F97146" w:rsidRDefault="00F26E61" w:rsidP="00F26E61">
            <w:pPr>
              <w:numPr>
                <w:ilvl w:val="0"/>
                <w:numId w:val="96"/>
              </w:numPr>
              <w:spacing w:before="60" w:after="0"/>
              <w:rPr>
                <w:rFonts w:eastAsia="Segoe UI" w:cs="Segoe UI"/>
                <w:i/>
                <w:sz w:val="18"/>
                <w:szCs w:val="14"/>
              </w:rPr>
            </w:pPr>
            <w:r w:rsidRPr="00F97146">
              <w:rPr>
                <w:rFonts w:eastAsia="Segoe UI" w:cs="Segoe UI"/>
                <w:i/>
                <w:sz w:val="18"/>
                <w:szCs w:val="14"/>
              </w:rPr>
              <w:t>for class B devices, one device;</w:t>
            </w:r>
          </w:p>
          <w:p w14:paraId="34F0FF55" w14:textId="77777777" w:rsidR="00F26E61" w:rsidRPr="00F97146" w:rsidRDefault="00F26E61" w:rsidP="00F26E61">
            <w:pPr>
              <w:numPr>
                <w:ilvl w:val="0"/>
                <w:numId w:val="96"/>
              </w:numPr>
              <w:spacing w:before="60" w:after="0"/>
              <w:rPr>
                <w:rFonts w:eastAsia="Segoe UI" w:cs="Segoe UI"/>
                <w:i/>
                <w:sz w:val="18"/>
                <w:szCs w:val="14"/>
              </w:rPr>
            </w:pPr>
            <w:r w:rsidRPr="00F97146">
              <w:rPr>
                <w:rFonts w:eastAsia="Segoe UI" w:cs="Segoe UI"/>
                <w:i/>
                <w:sz w:val="18"/>
                <w:szCs w:val="14"/>
              </w:rPr>
              <w:t>for class C devices, one device per generic device group.</w:t>
            </w:r>
          </w:p>
          <w:p w14:paraId="1C8035F9" w14:textId="77777777" w:rsidR="00F26E61" w:rsidRPr="00F97146" w:rsidRDefault="00F26E61" w:rsidP="00407A8E">
            <w:pPr>
              <w:spacing w:before="60"/>
              <w:rPr>
                <w:rFonts w:eastAsia="Segoe UI" w:cs="Segoe UI"/>
                <w:i/>
                <w:sz w:val="18"/>
                <w:szCs w:val="14"/>
              </w:rPr>
            </w:pPr>
            <w:r w:rsidRPr="00F97146">
              <w:rPr>
                <w:rFonts w:eastAsia="Segoe UI" w:cs="Segoe UI"/>
                <w:i/>
                <w:sz w:val="18"/>
                <w:szCs w:val="14"/>
              </w:rPr>
              <w:t>In choosing</w:t>
            </w:r>
            <w:r w:rsidRPr="00F97146">
              <w:rPr>
                <w:rFonts w:ascii="Arial" w:eastAsia="Segoe UI" w:hAnsi="Arial" w:cs="Arial"/>
                <w:i/>
                <w:sz w:val="18"/>
                <w:szCs w:val="14"/>
              </w:rPr>
              <w:t> </w:t>
            </w:r>
            <w:r w:rsidRPr="00F97146">
              <w:rPr>
                <w:rFonts w:eastAsia="Segoe UI" w:cs="Segoe UI"/>
                <w:i/>
                <w:sz w:val="18"/>
                <w:szCs w:val="14"/>
              </w:rPr>
              <w:t>the representative device, the notified body shall apply a risk-based approach, taking into account the principle of proportionality and in particular, the novelty of the technology, the novelty of the analyte and/or marker being detected, the potential impact on the patient and standard medical practice, similarities in design, technology, manufacturing and, where applicable, sterilisation methods, the intended purpose, the application by the manufacturer of harmonised standards or CS for the device and the results of any previous relevant assessments that have been carried out in accordance with this Regulation. The notified body in question shall document its rationale for the representative device taken.”</w:t>
            </w:r>
          </w:p>
          <w:p w14:paraId="7DA35FFA" w14:textId="77777777" w:rsidR="00F26E61" w:rsidRPr="00F97146" w:rsidRDefault="00F26E61" w:rsidP="00407A8E">
            <w:pPr>
              <w:spacing w:before="60"/>
              <w:rPr>
                <w:rFonts w:eastAsia="Segoe UI" w:cs="Segoe UI"/>
                <w:iCs w:val="0"/>
                <w:sz w:val="18"/>
                <w:szCs w:val="14"/>
              </w:rPr>
            </w:pPr>
          </w:p>
          <w:p w14:paraId="7FA607CE" w14:textId="77777777" w:rsidR="00F26E61" w:rsidRDefault="00F26E61" w:rsidP="00407A8E">
            <w:pPr>
              <w:spacing w:before="60"/>
              <w:rPr>
                <w:rFonts w:eastAsia="Segoe UI" w:cs="Segoe UI"/>
                <w:iCs w:val="0"/>
                <w:sz w:val="18"/>
                <w:szCs w:val="14"/>
              </w:rPr>
            </w:pPr>
            <w:r w:rsidRPr="00F97146">
              <w:rPr>
                <w:rFonts w:eastAsia="Segoe UI" w:cs="Segoe UI"/>
                <w:iCs w:val="0"/>
                <w:sz w:val="18"/>
                <w:szCs w:val="14"/>
              </w:rPr>
              <w:lastRenderedPageBreak/>
              <w:t>The current proposal foresees a sampling mechanism for initial certification that would reduce the level of scrutiny to that of the pre</w:t>
            </w:r>
            <w:r w:rsidRPr="00F97146">
              <w:rPr>
                <w:rFonts w:eastAsia="Segoe UI" w:cs="Segoe UI"/>
                <w:iCs w:val="0"/>
                <w:sz w:val="18"/>
                <w:szCs w:val="14"/>
              </w:rPr>
              <w:noBreakHyphen/>
              <w:t>MDR/IVDR era, and in some cases even below the standards of the former directives.</w:t>
            </w:r>
          </w:p>
          <w:p w14:paraId="1F867222" w14:textId="77777777" w:rsidR="00F26E61" w:rsidRDefault="00F26E61" w:rsidP="00407A8E">
            <w:pPr>
              <w:spacing w:before="60"/>
              <w:rPr>
                <w:rFonts w:eastAsia="Segoe UI" w:cs="Segoe UI"/>
                <w:iCs w:val="0"/>
                <w:sz w:val="18"/>
                <w:szCs w:val="14"/>
              </w:rPr>
            </w:pPr>
          </w:p>
          <w:p w14:paraId="03D5456B" w14:textId="77777777" w:rsidR="00F26E61" w:rsidRDefault="00F26E61" w:rsidP="00407A8E">
            <w:pPr>
              <w:spacing w:before="60"/>
              <w:rPr>
                <w:rFonts w:eastAsia="Segoe UI" w:cs="Segoe UI"/>
                <w:b/>
                <w:bCs/>
                <w:iCs w:val="0"/>
                <w:sz w:val="18"/>
                <w:szCs w:val="14"/>
              </w:rPr>
            </w:pPr>
            <w:r w:rsidRPr="00F52D06">
              <w:rPr>
                <w:rFonts w:eastAsia="Segoe UI" w:cs="Segoe UI"/>
                <w:b/>
                <w:bCs/>
                <w:iCs w:val="0"/>
                <w:sz w:val="18"/>
                <w:szCs w:val="14"/>
              </w:rPr>
              <w:t>Final note</w:t>
            </w:r>
            <w:r>
              <w:rPr>
                <w:rFonts w:eastAsia="Segoe UI" w:cs="Segoe UI"/>
                <w:b/>
                <w:bCs/>
                <w:iCs w:val="0"/>
                <w:sz w:val="18"/>
                <w:szCs w:val="14"/>
              </w:rPr>
              <w:t>:</w:t>
            </w:r>
          </w:p>
          <w:p w14:paraId="27D4BCCA" w14:textId="77777777" w:rsidR="00F26E61" w:rsidRPr="00F52D06" w:rsidRDefault="00F26E61" w:rsidP="00407A8E">
            <w:pPr>
              <w:spacing w:before="60"/>
              <w:rPr>
                <w:rFonts w:eastAsia="Segoe UI" w:cs="Segoe UI"/>
                <w:iCs w:val="0"/>
                <w:sz w:val="18"/>
                <w:szCs w:val="14"/>
              </w:rPr>
            </w:pPr>
            <w:r w:rsidRPr="00EA0AE2">
              <w:rPr>
                <w:rFonts w:eastAsia="Segoe UI" w:cs="Segoe UI"/>
                <w:iCs w:val="0"/>
                <w:sz w:val="18"/>
                <w:szCs w:val="14"/>
              </w:rPr>
              <w:t>Reducing initial technical documentation sampling without compensatory lifecycle</w:t>
            </w:r>
            <w:r w:rsidRPr="00EA0AE2">
              <w:rPr>
                <w:rFonts w:ascii="Cambria Math" w:eastAsia="Segoe UI" w:hAnsi="Cambria Math" w:cs="Cambria Math"/>
                <w:iCs w:val="0"/>
                <w:sz w:val="18"/>
                <w:szCs w:val="14"/>
              </w:rPr>
              <w:t>‑</w:t>
            </w:r>
            <w:r w:rsidRPr="00EA0AE2">
              <w:rPr>
                <w:rFonts w:eastAsia="Segoe UI" w:cs="Segoe UI"/>
                <w:iCs w:val="0"/>
                <w:sz w:val="18"/>
                <w:szCs w:val="14"/>
              </w:rPr>
              <w:t>based controls increases the risk that non</w:t>
            </w:r>
            <w:r w:rsidRPr="00EA0AE2">
              <w:rPr>
                <w:rFonts w:ascii="Cambria Math" w:eastAsia="Segoe UI" w:hAnsi="Cambria Math" w:cs="Cambria Math"/>
                <w:iCs w:val="0"/>
                <w:sz w:val="18"/>
                <w:szCs w:val="14"/>
              </w:rPr>
              <w:t>‑</w:t>
            </w:r>
            <w:r w:rsidRPr="00EA0AE2">
              <w:rPr>
                <w:rFonts w:eastAsia="Segoe UI" w:cs="Segoe UI"/>
                <w:iCs w:val="0"/>
                <w:sz w:val="18"/>
                <w:szCs w:val="14"/>
              </w:rPr>
              <w:t>conformities remain undetected until post</w:t>
            </w:r>
            <w:r w:rsidRPr="00EA0AE2">
              <w:rPr>
                <w:rFonts w:ascii="Cambria Math" w:eastAsia="Segoe UI" w:hAnsi="Cambria Math" w:cs="Cambria Math"/>
                <w:iCs w:val="0"/>
                <w:sz w:val="18"/>
                <w:szCs w:val="14"/>
              </w:rPr>
              <w:t>‑</w:t>
            </w:r>
            <w:r w:rsidRPr="00EA0AE2">
              <w:rPr>
                <w:rFonts w:eastAsia="Segoe UI" w:cs="Segoe UI"/>
                <w:iCs w:val="0"/>
                <w:sz w:val="18"/>
                <w:szCs w:val="14"/>
              </w:rPr>
              <w:t>market signals occur.</w:t>
            </w:r>
          </w:p>
        </w:tc>
        <w:tc>
          <w:tcPr>
            <w:tcW w:w="5251" w:type="dxa"/>
            <w:tcBorders>
              <w:top w:val="single" w:sz="4" w:space="0" w:color="auto"/>
              <w:left w:val="single" w:sz="4" w:space="0" w:color="auto"/>
              <w:bottom w:val="single" w:sz="4" w:space="0" w:color="auto"/>
              <w:right w:val="single" w:sz="4" w:space="0" w:color="auto"/>
            </w:tcBorders>
          </w:tcPr>
          <w:p w14:paraId="275B5D96" w14:textId="77777777" w:rsidR="00F26E61" w:rsidRPr="00F97146" w:rsidRDefault="00F26E61" w:rsidP="00407A8E">
            <w:pPr>
              <w:spacing w:before="60"/>
              <w:rPr>
                <w:rFonts w:eastAsia="Segoe UI" w:cs="Segoe UI"/>
                <w:b/>
                <w:bCs/>
                <w:iCs w:val="0"/>
                <w:sz w:val="18"/>
                <w:szCs w:val="14"/>
              </w:rPr>
            </w:pPr>
            <w:r w:rsidRPr="00F97146">
              <w:rPr>
                <w:rFonts w:eastAsia="Segoe UI" w:cs="Segoe UI"/>
                <w:b/>
                <w:bCs/>
                <w:iCs w:val="0"/>
                <w:sz w:val="18"/>
                <w:szCs w:val="14"/>
              </w:rPr>
              <w:lastRenderedPageBreak/>
              <w:t>MDR</w:t>
            </w:r>
          </w:p>
          <w:p w14:paraId="772212EA" w14:textId="77777777" w:rsidR="00F26E61" w:rsidRPr="00F97146" w:rsidRDefault="00F26E61" w:rsidP="00F26E61">
            <w:pPr>
              <w:numPr>
                <w:ilvl w:val="0"/>
                <w:numId w:val="75"/>
              </w:numPr>
              <w:spacing w:before="60" w:after="0"/>
              <w:rPr>
                <w:rFonts w:eastAsia="Segoe UI" w:cs="Segoe UI"/>
                <w:iCs w:val="0"/>
                <w:sz w:val="18"/>
                <w:szCs w:val="14"/>
              </w:rPr>
            </w:pPr>
            <w:r w:rsidRPr="00F97146">
              <w:rPr>
                <w:rFonts w:eastAsia="Segoe UI" w:cs="Segoe UI"/>
                <w:iCs w:val="0"/>
                <w:sz w:val="18"/>
                <w:szCs w:val="14"/>
              </w:rPr>
              <w:t>The terms of “generic device group” and “category of device” s</w:t>
            </w:r>
            <w:r>
              <w:rPr>
                <w:rFonts w:eastAsia="Segoe UI" w:cs="Segoe UI"/>
                <w:iCs w:val="0"/>
                <w:sz w:val="18"/>
                <w:szCs w:val="14"/>
              </w:rPr>
              <w:t>hould</w:t>
            </w:r>
            <w:r w:rsidRPr="00F97146">
              <w:rPr>
                <w:rFonts w:eastAsia="Segoe UI" w:cs="Segoe UI"/>
                <w:iCs w:val="0"/>
                <w:sz w:val="18"/>
                <w:szCs w:val="14"/>
              </w:rPr>
              <w:t xml:space="preserve"> be</w:t>
            </w:r>
            <w:r>
              <w:rPr>
                <w:rFonts w:eastAsia="Segoe UI" w:cs="Segoe UI"/>
                <w:iCs w:val="0"/>
                <w:sz w:val="18"/>
                <w:szCs w:val="14"/>
              </w:rPr>
              <w:t xml:space="preserve"> clearly</w:t>
            </w:r>
            <w:r w:rsidRPr="00F97146">
              <w:rPr>
                <w:rFonts w:eastAsia="Segoe UI" w:cs="Segoe UI"/>
                <w:iCs w:val="0"/>
                <w:sz w:val="18"/>
                <w:szCs w:val="14"/>
              </w:rPr>
              <w:t xml:space="preserve"> defined.</w:t>
            </w:r>
          </w:p>
          <w:p w14:paraId="713C8986" w14:textId="77777777" w:rsidR="00F26E61" w:rsidRDefault="00F26E61" w:rsidP="00F26E61">
            <w:pPr>
              <w:numPr>
                <w:ilvl w:val="0"/>
                <w:numId w:val="76"/>
              </w:numPr>
              <w:spacing w:before="60" w:after="0"/>
              <w:rPr>
                <w:rFonts w:eastAsia="Segoe UI" w:cs="Segoe UI"/>
                <w:iCs w:val="0"/>
                <w:sz w:val="18"/>
                <w:szCs w:val="14"/>
              </w:rPr>
            </w:pPr>
            <w:r w:rsidRPr="00CD48D6">
              <w:rPr>
                <w:rFonts w:eastAsia="Segoe UI" w:cs="Segoe UI"/>
                <w:iCs w:val="0"/>
                <w:sz w:val="18"/>
                <w:szCs w:val="14"/>
              </w:rPr>
              <w:t>To enable the selection of appropriate samples, device categories as set out in Implementing Regulation (EU) 2017/2185 should be reviewed and refined. Several codes are a recurring source of heterogeneous application (as observed during Joint Assessments) and are either too narrow (e.g. MDN 1207) or too broad (e.g. MDA0312, MDN1202).</w:t>
            </w:r>
          </w:p>
          <w:p w14:paraId="3A74D6E3" w14:textId="77777777" w:rsidR="00F26E61" w:rsidRPr="00F3077B" w:rsidRDefault="00F26E61" w:rsidP="00F26E61">
            <w:pPr>
              <w:numPr>
                <w:ilvl w:val="0"/>
                <w:numId w:val="76"/>
              </w:numPr>
              <w:spacing w:before="60" w:after="0"/>
              <w:rPr>
                <w:rFonts w:eastAsia="Segoe UI" w:cs="Segoe UI"/>
                <w:iCs w:val="0"/>
                <w:sz w:val="18"/>
                <w:szCs w:val="14"/>
              </w:rPr>
            </w:pPr>
            <w:r w:rsidRPr="00F3077B">
              <w:rPr>
                <w:rFonts w:eastAsia="Segoe UI" w:cs="Segoe UI"/>
                <w:iCs w:val="0"/>
                <w:sz w:val="18"/>
                <w:szCs w:val="14"/>
              </w:rPr>
              <w:t>Irrespective of device classification, differentiated expectations regarding the depth of scrutiny for well</w:t>
            </w:r>
            <w:r w:rsidRPr="00F3077B">
              <w:rPr>
                <w:rFonts w:ascii="Cambria Math" w:eastAsia="Segoe UI" w:hAnsi="Cambria Math" w:cs="Cambria Math"/>
                <w:iCs w:val="0"/>
                <w:sz w:val="18"/>
                <w:szCs w:val="14"/>
              </w:rPr>
              <w:t>‑</w:t>
            </w:r>
            <w:r w:rsidRPr="00F3077B">
              <w:rPr>
                <w:rFonts w:eastAsia="Segoe UI" w:cs="Segoe UI"/>
                <w:iCs w:val="0"/>
                <w:sz w:val="18"/>
                <w:szCs w:val="14"/>
              </w:rPr>
              <w:t>established technology (WET) devices may be considered only where there is either:</w:t>
            </w:r>
          </w:p>
          <w:p w14:paraId="2F648A06" w14:textId="77777777" w:rsidR="00F26E61" w:rsidRPr="00F3077B" w:rsidRDefault="00F26E61" w:rsidP="00F26E61">
            <w:pPr>
              <w:numPr>
                <w:ilvl w:val="1"/>
                <w:numId w:val="76"/>
              </w:numPr>
              <w:spacing w:after="0"/>
              <w:ind w:left="1434" w:hanging="357"/>
              <w:rPr>
                <w:rFonts w:eastAsia="Segoe UI" w:cs="Segoe UI"/>
                <w:iCs w:val="0"/>
                <w:sz w:val="18"/>
                <w:szCs w:val="14"/>
              </w:rPr>
            </w:pPr>
            <w:r w:rsidRPr="00F3077B">
              <w:rPr>
                <w:rFonts w:eastAsia="Segoe UI" w:cs="Segoe UI"/>
                <w:iCs w:val="0"/>
                <w:sz w:val="18"/>
                <w:szCs w:val="14"/>
              </w:rPr>
              <w:t>an unambiguous legal definition of WET devices, or</w:t>
            </w:r>
          </w:p>
          <w:p w14:paraId="3F0FCD90" w14:textId="77777777" w:rsidR="00F26E61" w:rsidRDefault="00F26E61" w:rsidP="00F26E61">
            <w:pPr>
              <w:numPr>
                <w:ilvl w:val="1"/>
                <w:numId w:val="76"/>
              </w:numPr>
              <w:spacing w:after="0"/>
              <w:ind w:left="1434" w:hanging="357"/>
              <w:rPr>
                <w:rFonts w:eastAsia="Segoe UI" w:cs="Segoe UI"/>
                <w:iCs w:val="0"/>
                <w:sz w:val="18"/>
                <w:szCs w:val="14"/>
              </w:rPr>
            </w:pPr>
            <w:r w:rsidRPr="00F3077B">
              <w:rPr>
                <w:rFonts w:eastAsia="Segoe UI" w:cs="Segoe UI"/>
                <w:iCs w:val="0"/>
                <w:sz w:val="18"/>
                <w:szCs w:val="14"/>
              </w:rPr>
              <w:t>an unambiguous</w:t>
            </w:r>
            <w:r>
              <w:rPr>
                <w:rFonts w:eastAsia="Segoe UI" w:cs="Segoe UI"/>
                <w:iCs w:val="0"/>
                <w:sz w:val="18"/>
                <w:szCs w:val="14"/>
              </w:rPr>
              <w:t xml:space="preserve"> restrictive</w:t>
            </w:r>
            <w:r w:rsidRPr="00F3077B">
              <w:rPr>
                <w:rFonts w:eastAsia="Segoe UI" w:cs="Segoe UI"/>
                <w:iCs w:val="0"/>
                <w:sz w:val="18"/>
                <w:szCs w:val="14"/>
              </w:rPr>
              <w:t xml:space="preserve"> list of device types qualifying as WET devices,</w:t>
            </w:r>
          </w:p>
          <w:p w14:paraId="5C4DEECB" w14:textId="77777777" w:rsidR="00F26E61" w:rsidRPr="00F3077B" w:rsidRDefault="00F26E61" w:rsidP="00407A8E">
            <w:pPr>
              <w:ind w:left="1434"/>
              <w:rPr>
                <w:rFonts w:eastAsia="Segoe UI" w:cs="Segoe UI"/>
                <w:iCs w:val="0"/>
                <w:sz w:val="18"/>
                <w:szCs w:val="14"/>
              </w:rPr>
            </w:pPr>
            <w:r>
              <w:rPr>
                <w:rFonts w:eastAsia="Segoe UI" w:cs="Segoe UI"/>
                <w:iCs w:val="0"/>
                <w:sz w:val="18"/>
                <w:szCs w:val="14"/>
              </w:rPr>
              <w:t>or a combination of both</w:t>
            </w:r>
          </w:p>
          <w:p w14:paraId="34CEC7A6" w14:textId="77777777" w:rsidR="00F26E61" w:rsidRPr="00F97146" w:rsidRDefault="00F26E61" w:rsidP="00F26E61">
            <w:pPr>
              <w:numPr>
                <w:ilvl w:val="0"/>
                <w:numId w:val="76"/>
              </w:numPr>
              <w:spacing w:before="60" w:after="0"/>
              <w:rPr>
                <w:rFonts w:eastAsia="Segoe UI" w:cs="Segoe UI"/>
                <w:iCs w:val="0"/>
                <w:sz w:val="18"/>
                <w:szCs w:val="14"/>
              </w:rPr>
            </w:pPr>
            <w:r>
              <w:rPr>
                <w:rFonts w:eastAsia="Segoe UI" w:cs="Segoe UI"/>
                <w:iCs w:val="0"/>
                <w:sz w:val="18"/>
                <w:szCs w:val="14"/>
              </w:rPr>
              <w:t>For</w:t>
            </w:r>
            <w:r w:rsidRPr="00F97146">
              <w:rPr>
                <w:rFonts w:eastAsia="Segoe UI" w:cs="Segoe UI"/>
                <w:iCs w:val="0"/>
                <w:sz w:val="18"/>
                <w:szCs w:val="14"/>
              </w:rPr>
              <w:t xml:space="preserve"> class III devices</w:t>
            </w:r>
            <w:r>
              <w:rPr>
                <w:rFonts w:eastAsia="Segoe UI" w:cs="Segoe UI"/>
                <w:iCs w:val="0"/>
                <w:sz w:val="18"/>
                <w:szCs w:val="14"/>
              </w:rPr>
              <w:t xml:space="preserve"> a clear </w:t>
            </w:r>
            <w:r w:rsidRPr="00F97146">
              <w:rPr>
                <w:rFonts w:eastAsia="Segoe UI" w:cs="Segoe UI"/>
                <w:iCs w:val="0"/>
                <w:sz w:val="18"/>
                <w:szCs w:val="14"/>
              </w:rPr>
              <w:t xml:space="preserve">distinction </w:t>
            </w:r>
            <w:r>
              <w:rPr>
                <w:rFonts w:eastAsia="Segoe UI" w:cs="Segoe UI"/>
                <w:iCs w:val="0"/>
                <w:sz w:val="18"/>
                <w:szCs w:val="14"/>
              </w:rPr>
              <w:t>is required between</w:t>
            </w:r>
          </w:p>
          <w:p w14:paraId="7BCE0657" w14:textId="77777777" w:rsidR="00F26E61" w:rsidRDefault="00F26E61" w:rsidP="00F26E61">
            <w:pPr>
              <w:pStyle w:val="NormalWeb"/>
              <w:numPr>
                <w:ilvl w:val="1"/>
                <w:numId w:val="76"/>
              </w:numPr>
              <w:spacing w:before="60" w:after="0" w:afterAutospacing="0" w:line="259" w:lineRule="auto"/>
              <w:rPr>
                <w:rFonts w:ascii="Aptos" w:eastAsia="Segoe UI" w:hAnsi="Aptos" w:cs="Segoe UI"/>
                <w:sz w:val="18"/>
                <w:szCs w:val="14"/>
              </w:rPr>
            </w:pPr>
            <w:r>
              <w:rPr>
                <w:rFonts w:ascii="Aptos" w:eastAsia="Segoe UI" w:hAnsi="Aptos" w:cs="Segoe UI"/>
                <w:sz w:val="18"/>
                <w:szCs w:val="14"/>
                <w:lang w:eastAsia="en-US"/>
              </w:rPr>
              <w:t xml:space="preserve">Class III </w:t>
            </w:r>
            <w:r w:rsidRPr="00F264CB">
              <w:rPr>
                <w:rFonts w:ascii="Aptos" w:eastAsia="Segoe UI" w:hAnsi="Aptos" w:cs="Segoe UI"/>
                <w:sz w:val="18"/>
                <w:szCs w:val="14"/>
                <w:lang w:eastAsia="en-US"/>
              </w:rPr>
              <w:t>WET devices benefiting from the relief provided for in Article 61(6), while still remaining subject to technical documentation (TD) assessment for every device; and</w:t>
            </w:r>
          </w:p>
          <w:p w14:paraId="29D62C0C" w14:textId="77777777" w:rsidR="00F26E61" w:rsidRPr="007C395C" w:rsidRDefault="00F26E61" w:rsidP="00F26E61">
            <w:pPr>
              <w:pStyle w:val="NormalWeb"/>
              <w:numPr>
                <w:ilvl w:val="1"/>
                <w:numId w:val="76"/>
              </w:numPr>
              <w:spacing w:before="60" w:after="0"/>
              <w:rPr>
                <w:rFonts w:ascii="Aptos" w:eastAsia="Segoe UI" w:hAnsi="Aptos" w:cs="Segoe UI"/>
                <w:sz w:val="18"/>
                <w:szCs w:val="14"/>
              </w:rPr>
            </w:pPr>
            <w:r w:rsidRPr="007C395C">
              <w:rPr>
                <w:rFonts w:ascii="Aptos" w:eastAsia="Segoe UI" w:hAnsi="Aptos" w:cs="Segoe UI"/>
                <w:sz w:val="18"/>
                <w:szCs w:val="14"/>
              </w:rPr>
              <w:t>class III WET devices that both benefit from Article 61(6) and qualify for a sampling approach, i.e. conformity assessment in accordance with Chapters I and III of Annex IX, including assessment of the technical documentation of one representative device per generic device group.</w:t>
            </w:r>
          </w:p>
          <w:p w14:paraId="18648654" w14:textId="77777777" w:rsidR="00F26E61" w:rsidRPr="00F31AEF" w:rsidRDefault="00F26E61" w:rsidP="00F26E61">
            <w:pPr>
              <w:pStyle w:val="Paragraphedeliste"/>
              <w:numPr>
                <w:ilvl w:val="0"/>
                <w:numId w:val="76"/>
              </w:numPr>
              <w:spacing w:before="60" w:after="0"/>
              <w:rPr>
                <w:rFonts w:eastAsia="Segoe UI" w:cs="Segoe UI"/>
                <w:iCs w:val="0"/>
                <w:sz w:val="18"/>
                <w:szCs w:val="14"/>
                <w:lang w:val="en-US"/>
              </w:rPr>
            </w:pPr>
            <w:r w:rsidRPr="00F31AEF">
              <w:rPr>
                <w:rFonts w:eastAsia="Segoe UI" w:cs="Segoe UI"/>
                <w:iCs w:val="0"/>
                <w:sz w:val="18"/>
                <w:szCs w:val="14"/>
              </w:rPr>
              <w:lastRenderedPageBreak/>
              <w:t xml:space="preserve">For all other classes: only device types that meet a </w:t>
            </w:r>
            <w:r>
              <w:rPr>
                <w:rFonts w:eastAsia="Segoe UI" w:cs="Segoe UI"/>
                <w:iCs w:val="0"/>
                <w:sz w:val="18"/>
                <w:szCs w:val="14"/>
              </w:rPr>
              <w:t>r</w:t>
            </w:r>
            <w:r w:rsidRPr="00F31AEF">
              <w:rPr>
                <w:rFonts w:eastAsia="Segoe UI" w:cs="Segoe UI"/>
                <w:iCs w:val="0"/>
                <w:sz w:val="18"/>
                <w:szCs w:val="14"/>
              </w:rPr>
              <w:t>estrictive and unambiguous definition of well</w:t>
            </w:r>
            <w:r w:rsidRPr="00F31AEF">
              <w:rPr>
                <w:rFonts w:ascii="Cambria Math" w:eastAsia="Segoe UI" w:hAnsi="Cambria Math" w:cs="Segoe UI"/>
                <w:iCs w:val="0"/>
                <w:sz w:val="18"/>
                <w:szCs w:val="14"/>
              </w:rPr>
              <w:t>‑</w:t>
            </w:r>
            <w:r w:rsidRPr="00F31AEF">
              <w:rPr>
                <w:rFonts w:eastAsia="Segoe UI" w:cs="Segoe UI"/>
                <w:iCs w:val="0"/>
                <w:sz w:val="18"/>
                <w:szCs w:val="14"/>
              </w:rPr>
              <w:t xml:space="preserve">established technology, and/or </w:t>
            </w:r>
            <w:r>
              <w:rPr>
                <w:rFonts w:eastAsia="Segoe UI" w:cs="Segoe UI"/>
                <w:iCs w:val="0"/>
                <w:sz w:val="18"/>
                <w:szCs w:val="14"/>
              </w:rPr>
              <w:t xml:space="preserve">are </w:t>
            </w:r>
            <w:r w:rsidRPr="00F31AEF">
              <w:rPr>
                <w:rFonts w:eastAsia="Segoe UI" w:cs="Segoe UI"/>
                <w:iCs w:val="0"/>
                <w:sz w:val="18"/>
                <w:szCs w:val="14"/>
              </w:rPr>
              <w:t xml:space="preserve">included in a closed and binding list of qualifying device types </w:t>
            </w:r>
            <w:r>
              <w:rPr>
                <w:rFonts w:eastAsia="Segoe UI" w:cs="Segoe UI"/>
                <w:iCs w:val="0"/>
                <w:sz w:val="18"/>
                <w:szCs w:val="14"/>
              </w:rPr>
              <w:t>,</w:t>
            </w:r>
            <w:r w:rsidRPr="00F31AEF">
              <w:rPr>
                <w:rFonts w:eastAsia="Segoe UI" w:cs="Segoe UI"/>
                <w:iCs w:val="0"/>
                <w:sz w:val="18"/>
                <w:szCs w:val="14"/>
              </w:rPr>
              <w:t xml:space="preserve"> may be considered WET devices.</w:t>
            </w:r>
          </w:p>
          <w:p w14:paraId="6382004E" w14:textId="77777777" w:rsidR="00F26E61" w:rsidRPr="00F97146" w:rsidRDefault="00F26E61" w:rsidP="00407A8E">
            <w:pPr>
              <w:spacing w:before="60"/>
              <w:rPr>
                <w:rFonts w:eastAsia="Segoe UI" w:cs="Segoe UI"/>
                <w:iCs w:val="0"/>
                <w:sz w:val="18"/>
                <w:szCs w:val="14"/>
                <w:lang w:val="en-US"/>
              </w:rPr>
            </w:pPr>
            <w:r w:rsidRPr="00F97146">
              <w:rPr>
                <w:rFonts w:eastAsia="Segoe UI" w:cs="Segoe UI"/>
                <w:iCs w:val="0"/>
                <w:sz w:val="18"/>
                <w:szCs w:val="14"/>
                <w:lang w:val="en-US"/>
              </w:rPr>
              <w:t xml:space="preserve">It is strongly recommended to </w:t>
            </w:r>
            <w:r>
              <w:rPr>
                <w:rFonts w:eastAsia="Segoe UI" w:cs="Segoe UI"/>
                <w:iCs w:val="0"/>
                <w:sz w:val="18"/>
                <w:szCs w:val="14"/>
                <w:lang w:val="en-US"/>
              </w:rPr>
              <w:t xml:space="preserve">maintain </w:t>
            </w:r>
            <w:r w:rsidRPr="00F97146">
              <w:rPr>
                <w:rFonts w:eastAsia="Segoe UI" w:cs="Segoe UI"/>
                <w:iCs w:val="0"/>
                <w:sz w:val="18"/>
                <w:szCs w:val="14"/>
                <w:lang w:val="en-US"/>
              </w:rPr>
              <w:t xml:space="preserve">the current approach, while it is acknowledged that leaner methodology </w:t>
            </w:r>
            <w:r>
              <w:rPr>
                <w:rFonts w:eastAsia="Segoe UI" w:cs="Segoe UI"/>
                <w:iCs w:val="0"/>
                <w:sz w:val="18"/>
                <w:szCs w:val="14"/>
                <w:lang w:val="en-US"/>
              </w:rPr>
              <w:t>could</w:t>
            </w:r>
            <w:r w:rsidRPr="00F97146">
              <w:rPr>
                <w:rFonts w:eastAsia="Segoe UI" w:cs="Segoe UI"/>
                <w:iCs w:val="0"/>
                <w:sz w:val="18"/>
                <w:szCs w:val="14"/>
                <w:lang w:val="en-US"/>
              </w:rPr>
              <w:t xml:space="preserve"> be used for sampling.</w:t>
            </w:r>
          </w:p>
          <w:p w14:paraId="0D52AE98" w14:textId="77777777" w:rsidR="00F26E61" w:rsidRPr="00F97146" w:rsidRDefault="00F26E61" w:rsidP="00407A8E">
            <w:pPr>
              <w:spacing w:before="60"/>
              <w:rPr>
                <w:rFonts w:eastAsia="Segoe UI" w:cs="Segoe UI"/>
                <w:iCs w:val="0"/>
                <w:sz w:val="18"/>
                <w:szCs w:val="14"/>
                <w:lang w:val="en-US"/>
              </w:rPr>
            </w:pPr>
            <w:r w:rsidRPr="00F97146">
              <w:rPr>
                <w:rFonts w:eastAsia="Segoe UI" w:cs="Segoe UI"/>
                <w:iCs w:val="0"/>
                <w:sz w:val="18"/>
                <w:szCs w:val="14"/>
                <w:lang w:val="en-US"/>
              </w:rPr>
              <w:t xml:space="preserve">Team NB proposed text (Art 52(3)): </w:t>
            </w:r>
          </w:p>
          <w:p w14:paraId="3800B32B" w14:textId="77777777" w:rsidR="00F26E61" w:rsidRPr="00F97146" w:rsidRDefault="00F26E61" w:rsidP="00407A8E">
            <w:pPr>
              <w:spacing w:before="60"/>
              <w:rPr>
                <w:rFonts w:eastAsia="Segoe UI" w:cs="Segoe UI"/>
                <w:iCs w:val="0"/>
                <w:sz w:val="18"/>
                <w:szCs w:val="14"/>
                <w:lang w:val="en-US"/>
              </w:rPr>
            </w:pPr>
            <w:r w:rsidRPr="00F97146">
              <w:rPr>
                <w:rFonts w:eastAsia="Segoe UI" w:cs="Segoe UI"/>
                <w:iCs w:val="0"/>
                <w:sz w:val="18"/>
                <w:szCs w:val="14"/>
                <w:lang w:val="en-US"/>
              </w:rPr>
              <w:t>“</w:t>
            </w:r>
            <w:r w:rsidRPr="00F97146">
              <w:rPr>
                <w:rFonts w:eastAsia="Segoe UI" w:cs="Segoe UI"/>
                <w:i/>
                <w:sz w:val="18"/>
                <w:szCs w:val="14"/>
                <w:lang w:val="en-US"/>
              </w:rPr>
              <w:t>By way of derogation from the first subparagraph, class</w:t>
            </w:r>
            <w:r w:rsidRPr="00F97146">
              <w:rPr>
                <w:rFonts w:ascii="Arial" w:eastAsia="Segoe UI" w:hAnsi="Arial" w:cs="Arial"/>
                <w:i/>
                <w:sz w:val="18"/>
                <w:szCs w:val="14"/>
                <w:lang w:val="en-US"/>
              </w:rPr>
              <w:t> </w:t>
            </w:r>
            <w:r w:rsidRPr="00F97146">
              <w:rPr>
                <w:rFonts w:eastAsia="Segoe UI" w:cs="Segoe UI"/>
                <w:i/>
                <w:sz w:val="18"/>
                <w:szCs w:val="14"/>
                <w:lang w:val="en-US"/>
              </w:rPr>
              <w:t>III devices that are listed as well-established technology devices specifically qualifying for sampling of Technical Documentation, shall be subject to a conformity assessment as specified in Chapters</w:t>
            </w:r>
            <w:r w:rsidRPr="00F97146">
              <w:rPr>
                <w:rFonts w:ascii="Arial" w:eastAsia="Segoe UI" w:hAnsi="Arial" w:cs="Arial"/>
                <w:i/>
                <w:sz w:val="18"/>
                <w:szCs w:val="14"/>
                <w:lang w:val="en-US"/>
              </w:rPr>
              <w:t> </w:t>
            </w:r>
            <w:r w:rsidRPr="00F97146">
              <w:rPr>
                <w:rFonts w:eastAsia="Segoe UI" w:cs="Segoe UI"/>
                <w:i/>
                <w:sz w:val="18"/>
                <w:szCs w:val="14"/>
                <w:lang w:val="en-US"/>
              </w:rPr>
              <w:t>I and III of Annex</w:t>
            </w:r>
            <w:r w:rsidRPr="00F97146">
              <w:rPr>
                <w:rFonts w:ascii="Arial" w:eastAsia="Segoe UI" w:hAnsi="Arial" w:cs="Arial"/>
                <w:i/>
                <w:sz w:val="18"/>
                <w:szCs w:val="14"/>
                <w:lang w:val="en-US"/>
              </w:rPr>
              <w:t> </w:t>
            </w:r>
            <w:r w:rsidRPr="00F97146">
              <w:rPr>
                <w:rFonts w:eastAsia="Segoe UI" w:cs="Segoe UI"/>
                <w:i/>
                <w:sz w:val="18"/>
                <w:szCs w:val="14"/>
                <w:lang w:val="en-US"/>
              </w:rPr>
              <w:t>IX, including an assessment of the technical documentation of at least one representative device per generic device group.”</w:t>
            </w:r>
          </w:p>
          <w:p w14:paraId="0DE64A12" w14:textId="77777777" w:rsidR="00F26E61" w:rsidRPr="00F97146" w:rsidRDefault="00F26E61" w:rsidP="00407A8E">
            <w:pPr>
              <w:spacing w:before="60"/>
              <w:rPr>
                <w:rFonts w:eastAsia="Segoe UI" w:cs="Segoe UI"/>
                <w:iCs w:val="0"/>
                <w:sz w:val="18"/>
                <w:szCs w:val="14"/>
                <w:lang w:val="en-US"/>
              </w:rPr>
            </w:pPr>
          </w:p>
          <w:p w14:paraId="56B45906" w14:textId="77777777" w:rsidR="00F26E61" w:rsidRPr="00F97146" w:rsidRDefault="00F26E61" w:rsidP="00407A8E">
            <w:pPr>
              <w:spacing w:before="60"/>
              <w:rPr>
                <w:rFonts w:eastAsia="Segoe UI" w:cs="Segoe UI"/>
                <w:b/>
                <w:bCs/>
                <w:iCs w:val="0"/>
                <w:sz w:val="18"/>
                <w:szCs w:val="14"/>
              </w:rPr>
            </w:pPr>
            <w:r w:rsidRPr="00F97146">
              <w:rPr>
                <w:rFonts w:eastAsia="Segoe UI" w:cs="Segoe UI"/>
                <w:iCs w:val="0"/>
                <w:sz w:val="18"/>
                <w:szCs w:val="14"/>
                <w:lang w:val="en-US"/>
              </w:rPr>
              <w:t xml:space="preserve">Team NB proposed text (Art 52(4)): </w:t>
            </w:r>
          </w:p>
          <w:p w14:paraId="5FC815C4" w14:textId="77777777" w:rsidR="00F26E61" w:rsidRPr="00F97146" w:rsidRDefault="00F26E61" w:rsidP="00407A8E">
            <w:pPr>
              <w:spacing w:before="60"/>
              <w:rPr>
                <w:rFonts w:eastAsia="Segoe UI" w:cs="Segoe UI"/>
                <w:i/>
                <w:sz w:val="18"/>
                <w:szCs w:val="14"/>
              </w:rPr>
            </w:pPr>
            <w:r w:rsidRPr="00F97146">
              <w:rPr>
                <w:rFonts w:eastAsia="Segoe UI" w:cs="Segoe UI"/>
                <w:i/>
                <w:sz w:val="18"/>
                <w:szCs w:val="14"/>
              </w:rPr>
              <w:t>“Manufacturers of class IIb devices, other than custom-made or investigational devices, shall be subject to a conformity assessment as specified in Chapters</w:t>
            </w:r>
            <w:r w:rsidRPr="00F97146">
              <w:rPr>
                <w:rFonts w:ascii="Arial" w:eastAsia="Segoe UI" w:hAnsi="Arial" w:cs="Arial"/>
                <w:i/>
                <w:sz w:val="18"/>
                <w:szCs w:val="14"/>
              </w:rPr>
              <w:t> </w:t>
            </w:r>
            <w:r w:rsidRPr="00F97146">
              <w:rPr>
                <w:rFonts w:eastAsia="Segoe UI" w:cs="Segoe UI"/>
                <w:i/>
                <w:sz w:val="18"/>
                <w:szCs w:val="14"/>
              </w:rPr>
              <w:t>I and III of Annex</w:t>
            </w:r>
            <w:r w:rsidRPr="00F97146">
              <w:rPr>
                <w:rFonts w:ascii="Arial" w:eastAsia="Segoe UI" w:hAnsi="Arial" w:cs="Arial"/>
                <w:i/>
                <w:sz w:val="18"/>
                <w:szCs w:val="14"/>
              </w:rPr>
              <w:t> </w:t>
            </w:r>
            <w:r w:rsidRPr="00F97146">
              <w:rPr>
                <w:rFonts w:eastAsia="Segoe UI" w:cs="Segoe UI"/>
                <w:i/>
                <w:sz w:val="18"/>
                <w:szCs w:val="14"/>
              </w:rPr>
              <w:t>IX, including an assessment of the technical documentation</w:t>
            </w:r>
            <w:r w:rsidRPr="00F97146">
              <w:rPr>
                <w:rFonts w:ascii="Arial" w:eastAsia="Segoe UI" w:hAnsi="Arial" w:cs="Arial"/>
                <w:i/>
                <w:sz w:val="18"/>
                <w:szCs w:val="14"/>
              </w:rPr>
              <w:t> </w:t>
            </w:r>
            <w:r w:rsidRPr="00F97146">
              <w:rPr>
                <w:rFonts w:eastAsia="Segoe UI" w:cs="Segoe UI"/>
                <w:i/>
                <w:sz w:val="18"/>
                <w:szCs w:val="14"/>
              </w:rPr>
              <w:t xml:space="preserve">of one representative device per generic device group or, in the case of </w:t>
            </w:r>
            <w:r w:rsidRPr="00F97146">
              <w:rPr>
                <w:rFonts w:eastAsia="Segoe UI" w:cs="Segoe UI"/>
                <w:b/>
                <w:bCs/>
                <w:i/>
                <w:sz w:val="18"/>
                <w:szCs w:val="14"/>
              </w:rPr>
              <w:t>non-implantable class IIb devices that are well-established technology devices, at least one representative device per each category of devices</w:t>
            </w:r>
            <w:r w:rsidRPr="00F97146">
              <w:rPr>
                <w:rFonts w:eastAsia="Segoe UI" w:cs="Segoe UI"/>
                <w:i/>
                <w:sz w:val="18"/>
                <w:szCs w:val="14"/>
              </w:rPr>
              <w:t>.”</w:t>
            </w:r>
          </w:p>
          <w:p w14:paraId="19F7F133" w14:textId="77777777" w:rsidR="00F26E61" w:rsidRPr="00F97146" w:rsidRDefault="00F26E61" w:rsidP="00407A8E">
            <w:pPr>
              <w:spacing w:before="60"/>
              <w:rPr>
                <w:rFonts w:eastAsia="Segoe UI" w:cs="Segoe UI"/>
                <w:iCs w:val="0"/>
                <w:sz w:val="18"/>
                <w:szCs w:val="14"/>
                <w:lang w:val="en-US"/>
              </w:rPr>
            </w:pPr>
          </w:p>
          <w:p w14:paraId="57ECE1B5" w14:textId="77777777" w:rsidR="00F26E61" w:rsidRPr="00F97146" w:rsidRDefault="00F26E61" w:rsidP="00407A8E">
            <w:pPr>
              <w:spacing w:before="60"/>
              <w:rPr>
                <w:rFonts w:eastAsia="Segoe UI" w:cs="Segoe UI"/>
                <w:b/>
                <w:bCs/>
                <w:iCs w:val="0"/>
                <w:sz w:val="18"/>
                <w:szCs w:val="14"/>
                <w:lang w:val="en-US"/>
              </w:rPr>
            </w:pPr>
            <w:r w:rsidRPr="00F97146">
              <w:rPr>
                <w:rFonts w:eastAsia="Segoe UI" w:cs="Segoe UI"/>
                <w:iCs w:val="0"/>
                <w:sz w:val="18"/>
                <w:szCs w:val="14"/>
                <w:lang w:val="en-US"/>
              </w:rPr>
              <w:t xml:space="preserve">Team NB proposed text (Art 52(6)): </w:t>
            </w:r>
          </w:p>
          <w:p w14:paraId="359BAEBA" w14:textId="77777777" w:rsidR="00F26E61" w:rsidRPr="00F97146" w:rsidRDefault="00F26E61" w:rsidP="00407A8E">
            <w:pPr>
              <w:rPr>
                <w:rFonts w:eastAsia="Segoe UI" w:cs="Segoe UI"/>
                <w:i/>
                <w:sz w:val="18"/>
                <w:szCs w:val="14"/>
                <w:lang w:val="en-US"/>
              </w:rPr>
            </w:pPr>
            <w:r w:rsidRPr="00F97146">
              <w:rPr>
                <w:rFonts w:eastAsia="Segoe UI" w:cs="Segoe UI"/>
                <w:iCs w:val="0"/>
                <w:sz w:val="18"/>
                <w:szCs w:val="14"/>
                <w:lang w:val="en-US"/>
              </w:rPr>
              <w:lastRenderedPageBreak/>
              <w:t>“</w:t>
            </w:r>
            <w:r w:rsidRPr="00F97146">
              <w:rPr>
                <w:rFonts w:eastAsia="Segoe UI" w:cs="Segoe UI"/>
                <w:i/>
                <w:sz w:val="18"/>
                <w:szCs w:val="14"/>
                <w:lang w:val="en-US"/>
              </w:rPr>
              <w:t xml:space="preserve">Manufacturers of class </w:t>
            </w:r>
            <w:proofErr w:type="spellStart"/>
            <w:r w:rsidRPr="00F97146">
              <w:rPr>
                <w:rFonts w:eastAsia="Segoe UI" w:cs="Segoe UI"/>
                <w:i/>
                <w:sz w:val="18"/>
                <w:szCs w:val="14"/>
                <w:lang w:val="en-US"/>
              </w:rPr>
              <w:t>IIa</w:t>
            </w:r>
            <w:proofErr w:type="spellEnd"/>
            <w:r w:rsidRPr="00F97146">
              <w:rPr>
                <w:rFonts w:eastAsia="Segoe UI" w:cs="Segoe UI"/>
                <w:i/>
                <w:sz w:val="18"/>
                <w:szCs w:val="14"/>
                <w:lang w:val="en-US"/>
              </w:rPr>
              <w:t xml:space="preserve"> devices, other than custom-made or investigational devices, shall be subject to a conformity assessment as specified in Chapters</w:t>
            </w:r>
            <w:r w:rsidRPr="00F97146">
              <w:rPr>
                <w:rFonts w:ascii="Arial" w:eastAsia="Segoe UI" w:hAnsi="Arial" w:cs="Arial"/>
                <w:i/>
                <w:sz w:val="18"/>
                <w:szCs w:val="14"/>
                <w:lang w:val="en-US"/>
              </w:rPr>
              <w:t> </w:t>
            </w:r>
            <w:r w:rsidRPr="00F97146">
              <w:rPr>
                <w:rFonts w:eastAsia="Segoe UI" w:cs="Segoe UI"/>
                <w:i/>
                <w:sz w:val="18"/>
                <w:szCs w:val="14"/>
                <w:lang w:val="en-US"/>
              </w:rPr>
              <w:t>I and III of Annex</w:t>
            </w:r>
            <w:r w:rsidRPr="00F97146">
              <w:rPr>
                <w:rFonts w:ascii="Arial" w:eastAsia="Segoe UI" w:hAnsi="Arial" w:cs="Arial"/>
                <w:i/>
                <w:sz w:val="18"/>
                <w:szCs w:val="14"/>
                <w:lang w:val="en-US"/>
              </w:rPr>
              <w:t> </w:t>
            </w:r>
            <w:r w:rsidRPr="00F97146">
              <w:rPr>
                <w:rFonts w:eastAsia="Segoe UI" w:cs="Segoe UI"/>
                <w:i/>
                <w:sz w:val="18"/>
                <w:szCs w:val="14"/>
                <w:lang w:val="en-US"/>
              </w:rPr>
              <w:t xml:space="preserve">IX, including an assessment of the technical documentation of </w:t>
            </w:r>
            <w:r w:rsidRPr="00F97146">
              <w:rPr>
                <w:rFonts w:eastAsia="Segoe UI" w:cs="Segoe UI"/>
                <w:b/>
                <w:bCs/>
                <w:i/>
                <w:sz w:val="18"/>
                <w:szCs w:val="14"/>
                <w:lang w:val="en-US"/>
              </w:rPr>
              <w:t>at least one</w:t>
            </w:r>
            <w:r w:rsidRPr="00F97146">
              <w:rPr>
                <w:rFonts w:eastAsia="Segoe UI" w:cs="Segoe UI"/>
                <w:i/>
                <w:sz w:val="18"/>
                <w:szCs w:val="14"/>
                <w:lang w:val="en-US"/>
              </w:rPr>
              <w:t xml:space="preserve"> representative device for each category of devices.”</w:t>
            </w:r>
          </w:p>
          <w:p w14:paraId="308AE479" w14:textId="77777777" w:rsidR="00F26E61" w:rsidRPr="00F97146" w:rsidRDefault="00F26E61" w:rsidP="00407A8E">
            <w:pPr>
              <w:rPr>
                <w:rFonts w:eastAsia="Segoe UI" w:cs="Segoe UI"/>
                <w:i/>
                <w:sz w:val="18"/>
                <w:szCs w:val="14"/>
                <w:lang w:val="en-US"/>
              </w:rPr>
            </w:pPr>
          </w:p>
          <w:p w14:paraId="5B6BB3B2" w14:textId="77777777" w:rsidR="00F26E61" w:rsidRPr="00F97146" w:rsidRDefault="00F26E61" w:rsidP="00407A8E">
            <w:pPr>
              <w:spacing w:before="60"/>
              <w:rPr>
                <w:rFonts w:eastAsia="Segoe UI" w:cs="Segoe UI"/>
                <w:i/>
                <w:sz w:val="18"/>
                <w:szCs w:val="14"/>
                <w:lang w:val="en-US"/>
              </w:rPr>
            </w:pPr>
            <w:r w:rsidRPr="00F97146">
              <w:rPr>
                <w:rFonts w:eastAsia="Segoe UI" w:cs="Segoe UI"/>
                <w:i/>
                <w:sz w:val="18"/>
                <w:szCs w:val="14"/>
                <w:lang w:val="en-US"/>
              </w:rPr>
              <w:t>Alternatively, the manufacturer may choose to draw up the technical documentation set out in Annexes</w:t>
            </w:r>
            <w:r w:rsidRPr="00F97146">
              <w:rPr>
                <w:rFonts w:ascii="Arial" w:eastAsia="Segoe UI" w:hAnsi="Arial" w:cs="Arial"/>
                <w:i/>
                <w:sz w:val="18"/>
                <w:szCs w:val="14"/>
                <w:lang w:val="en-US"/>
              </w:rPr>
              <w:t> </w:t>
            </w:r>
            <w:r w:rsidRPr="00F97146">
              <w:rPr>
                <w:rFonts w:eastAsia="Segoe UI" w:cs="Segoe UI"/>
                <w:i/>
                <w:sz w:val="18"/>
                <w:szCs w:val="14"/>
                <w:lang w:val="en-US"/>
              </w:rPr>
              <w:t>II and III coupled with a conformity assessment as specified in Section</w:t>
            </w:r>
            <w:r w:rsidRPr="00F97146">
              <w:rPr>
                <w:rFonts w:ascii="Arial" w:eastAsia="Segoe UI" w:hAnsi="Arial" w:cs="Arial"/>
                <w:i/>
                <w:sz w:val="18"/>
                <w:szCs w:val="14"/>
                <w:lang w:val="en-US"/>
              </w:rPr>
              <w:t> </w:t>
            </w:r>
            <w:r w:rsidRPr="00F97146">
              <w:rPr>
                <w:rFonts w:eastAsia="Segoe UI" w:cs="Segoe UI"/>
                <w:i/>
                <w:sz w:val="18"/>
                <w:szCs w:val="14"/>
                <w:lang w:val="en-US"/>
              </w:rPr>
              <w:t>10 or Section</w:t>
            </w:r>
            <w:r w:rsidRPr="00F97146">
              <w:rPr>
                <w:rFonts w:ascii="Arial" w:eastAsia="Segoe UI" w:hAnsi="Arial" w:cs="Arial"/>
                <w:i/>
                <w:sz w:val="18"/>
                <w:szCs w:val="14"/>
                <w:lang w:val="en-US"/>
              </w:rPr>
              <w:t> </w:t>
            </w:r>
            <w:r w:rsidRPr="00F97146">
              <w:rPr>
                <w:rFonts w:eastAsia="Segoe UI" w:cs="Segoe UI"/>
                <w:i/>
                <w:sz w:val="18"/>
                <w:szCs w:val="14"/>
                <w:lang w:val="en-US"/>
              </w:rPr>
              <w:t>18 of Annex</w:t>
            </w:r>
            <w:r w:rsidRPr="00F97146">
              <w:rPr>
                <w:rFonts w:ascii="Arial" w:eastAsia="Segoe UI" w:hAnsi="Arial" w:cs="Arial"/>
                <w:i/>
                <w:sz w:val="18"/>
                <w:szCs w:val="14"/>
                <w:lang w:val="en-US"/>
              </w:rPr>
              <w:t> </w:t>
            </w:r>
            <w:r w:rsidRPr="00F97146">
              <w:rPr>
                <w:rFonts w:eastAsia="Segoe UI" w:cs="Segoe UI"/>
                <w:i/>
                <w:sz w:val="18"/>
                <w:szCs w:val="14"/>
                <w:lang w:val="en-US"/>
              </w:rPr>
              <w:t xml:space="preserve">XI. The assessment of the technical documentation shall apply for </w:t>
            </w:r>
            <w:r w:rsidRPr="00F97146">
              <w:rPr>
                <w:rFonts w:eastAsia="Segoe UI" w:cs="Segoe UI"/>
                <w:b/>
                <w:bCs/>
                <w:i/>
                <w:sz w:val="18"/>
                <w:szCs w:val="14"/>
                <w:lang w:val="en-US"/>
              </w:rPr>
              <w:t>at least one</w:t>
            </w:r>
            <w:r w:rsidRPr="00F97146">
              <w:rPr>
                <w:rFonts w:eastAsia="Segoe UI" w:cs="Segoe UI"/>
                <w:i/>
                <w:sz w:val="18"/>
                <w:szCs w:val="14"/>
                <w:lang w:val="en-US"/>
              </w:rPr>
              <w:t xml:space="preserve"> representative device for each category of devices.”</w:t>
            </w:r>
          </w:p>
          <w:p w14:paraId="4DD9A747" w14:textId="77777777" w:rsidR="00F26E61" w:rsidRPr="00F97146" w:rsidRDefault="00F26E61" w:rsidP="00407A8E">
            <w:pPr>
              <w:spacing w:before="60"/>
              <w:rPr>
                <w:rFonts w:eastAsia="Segoe UI" w:cs="Segoe UI"/>
                <w:iCs w:val="0"/>
                <w:sz w:val="18"/>
                <w:szCs w:val="14"/>
              </w:rPr>
            </w:pPr>
          </w:p>
          <w:p w14:paraId="31F3330C" w14:textId="77777777" w:rsidR="00F26E61" w:rsidRPr="00F97146" w:rsidRDefault="00F26E61" w:rsidP="00407A8E">
            <w:pPr>
              <w:spacing w:before="60"/>
              <w:rPr>
                <w:rFonts w:eastAsia="Segoe UI" w:cs="Segoe UI"/>
                <w:iCs w:val="0"/>
                <w:sz w:val="18"/>
                <w:szCs w:val="14"/>
                <w:lang w:val="en-US"/>
              </w:rPr>
            </w:pPr>
            <w:r w:rsidRPr="00F97146">
              <w:rPr>
                <w:rFonts w:eastAsia="Segoe UI" w:cs="Segoe UI"/>
                <w:iCs w:val="0"/>
                <w:sz w:val="18"/>
                <w:szCs w:val="14"/>
                <w:lang w:val="en-US"/>
              </w:rPr>
              <w:t>*This mechanism can be expanded towards:</w:t>
            </w:r>
          </w:p>
          <w:p w14:paraId="59FA2E8C" w14:textId="77777777" w:rsidR="00F26E61" w:rsidRPr="00F97146" w:rsidRDefault="00F26E61" w:rsidP="00F26E61">
            <w:pPr>
              <w:numPr>
                <w:ilvl w:val="1"/>
                <w:numId w:val="76"/>
              </w:numPr>
              <w:spacing w:before="60" w:after="0"/>
              <w:rPr>
                <w:rFonts w:eastAsia="Segoe UI" w:cs="Segoe UI"/>
                <w:iCs w:val="0"/>
                <w:sz w:val="18"/>
                <w:szCs w:val="14"/>
              </w:rPr>
            </w:pPr>
            <w:r w:rsidRPr="00F97146">
              <w:rPr>
                <w:rFonts w:eastAsia="Segoe UI" w:cs="Segoe UI"/>
                <w:iCs w:val="0"/>
                <w:sz w:val="18"/>
                <w:szCs w:val="14"/>
              </w:rPr>
              <w:t>The Commission may, by means of implementing acts, draw up lists of devices that</w:t>
            </w:r>
            <w:r w:rsidRPr="00F97146">
              <w:rPr>
                <w:rFonts w:eastAsia="Segoe UI" w:cs="Segoe UI"/>
                <w:b/>
                <w:bCs/>
                <w:iCs w:val="0"/>
                <w:sz w:val="18"/>
                <w:szCs w:val="14"/>
              </w:rPr>
              <w:t xml:space="preserve"> </w:t>
            </w:r>
            <w:r w:rsidRPr="00F97146">
              <w:rPr>
                <w:rFonts w:eastAsia="Segoe UI" w:cs="Segoe UI"/>
                <w:iCs w:val="0"/>
                <w:sz w:val="18"/>
                <w:szCs w:val="14"/>
              </w:rPr>
              <w:t>are a or are not a</w:t>
            </w:r>
            <w:r w:rsidRPr="00F97146">
              <w:rPr>
                <w:rFonts w:eastAsia="Segoe UI" w:cs="Segoe UI"/>
                <w:b/>
                <w:bCs/>
                <w:iCs w:val="0"/>
                <w:sz w:val="18"/>
                <w:szCs w:val="14"/>
              </w:rPr>
              <w:t xml:space="preserve"> </w:t>
            </w:r>
            <w:r w:rsidRPr="00F97146">
              <w:rPr>
                <w:rFonts w:eastAsia="Segoe UI" w:cs="Segoe UI"/>
                <w:iCs w:val="0"/>
                <w:sz w:val="18"/>
                <w:szCs w:val="14"/>
              </w:rPr>
              <w:t>well-established technology.</w:t>
            </w:r>
          </w:p>
          <w:p w14:paraId="6DD88CDE" w14:textId="77777777" w:rsidR="00F26E61" w:rsidRPr="00F97146" w:rsidRDefault="00F26E61" w:rsidP="00F26E61">
            <w:pPr>
              <w:numPr>
                <w:ilvl w:val="1"/>
                <w:numId w:val="76"/>
              </w:numPr>
              <w:spacing w:before="60" w:after="0"/>
              <w:rPr>
                <w:rFonts w:eastAsia="Segoe UI" w:cs="Segoe UI"/>
                <w:iCs w:val="0"/>
                <w:sz w:val="18"/>
                <w:szCs w:val="14"/>
                <w:lang w:val="en-US"/>
              </w:rPr>
            </w:pPr>
            <w:r w:rsidRPr="00F97146">
              <w:rPr>
                <w:rFonts w:eastAsia="Segoe UI" w:cs="Segoe UI"/>
                <w:iCs w:val="0"/>
                <w:sz w:val="18"/>
                <w:szCs w:val="14"/>
                <w:lang w:val="en-US"/>
              </w:rPr>
              <w:t>Those implementing acts shall be adopted in accordance with the examination procedure referred to in Art 114(3).</w:t>
            </w:r>
          </w:p>
          <w:p w14:paraId="27A122F3" w14:textId="77777777" w:rsidR="00F26E61" w:rsidRPr="00F97146" w:rsidRDefault="00F26E61" w:rsidP="00F26E61">
            <w:pPr>
              <w:numPr>
                <w:ilvl w:val="0"/>
                <w:numId w:val="76"/>
              </w:numPr>
              <w:spacing w:before="60" w:after="0"/>
              <w:rPr>
                <w:rFonts w:eastAsia="Segoe UI" w:cs="Segoe UI"/>
                <w:iCs w:val="0"/>
                <w:sz w:val="18"/>
                <w:szCs w:val="14"/>
              </w:rPr>
            </w:pPr>
            <w:r w:rsidRPr="00F97146">
              <w:rPr>
                <w:rFonts w:eastAsia="Segoe UI" w:cs="Segoe UI"/>
                <w:iCs w:val="0"/>
                <w:sz w:val="18"/>
                <w:szCs w:val="14"/>
              </w:rPr>
              <w:t>Further, for the implementation a real risk-based approach for the assessment of Technical Documentation product-specific Common Specifications or guidance documents shall be developed. It shall be considered that not with every sampled TD</w:t>
            </w:r>
            <w:r w:rsidRPr="00F97146">
              <w:rPr>
                <w:rFonts w:eastAsia="Times New Roman" w:cs="Segoe UI"/>
                <w:iCs w:val="0"/>
                <w:sz w:val="18"/>
                <w:szCs w:val="14"/>
              </w:rPr>
              <w:t xml:space="preserve"> </w:t>
            </w:r>
            <w:r w:rsidRPr="00F97146">
              <w:rPr>
                <w:rFonts w:eastAsia="Segoe UI" w:cs="Segoe UI"/>
                <w:iCs w:val="0"/>
                <w:sz w:val="18"/>
                <w:szCs w:val="14"/>
              </w:rPr>
              <w:t>the entire Ann I, II, and III might be necessary to be assessed fully. The product-specific Common Specifications or guidance shall clearly indicate which aspects are to be prioritized during the surveillance sampling.</w:t>
            </w:r>
          </w:p>
          <w:p w14:paraId="6BC69952" w14:textId="77777777" w:rsidR="00F26E61" w:rsidRPr="00F97146" w:rsidRDefault="00F26E61" w:rsidP="00407A8E">
            <w:pPr>
              <w:spacing w:before="60"/>
              <w:rPr>
                <w:rFonts w:eastAsia="Segoe UI" w:cs="Segoe UI"/>
                <w:iCs w:val="0"/>
                <w:sz w:val="18"/>
                <w:szCs w:val="14"/>
              </w:rPr>
            </w:pPr>
          </w:p>
          <w:p w14:paraId="3CF4BED9" w14:textId="77777777" w:rsidR="00F26E61" w:rsidRPr="00F97146" w:rsidRDefault="00F26E61" w:rsidP="00407A8E">
            <w:pPr>
              <w:spacing w:before="60"/>
              <w:rPr>
                <w:rFonts w:eastAsia="Segoe UI" w:cs="Segoe UI"/>
                <w:iCs w:val="0"/>
                <w:sz w:val="18"/>
                <w:szCs w:val="14"/>
                <w:lang w:val="en-US"/>
              </w:rPr>
            </w:pPr>
            <w:r w:rsidRPr="00F97146">
              <w:rPr>
                <w:rFonts w:eastAsia="Segoe UI" w:cs="Segoe UI"/>
                <w:iCs w:val="0"/>
                <w:sz w:val="18"/>
                <w:szCs w:val="14"/>
                <w:lang w:val="en-US"/>
              </w:rPr>
              <w:t>MDCG 2019-13 improvements:</w:t>
            </w:r>
          </w:p>
          <w:p w14:paraId="144A5F94" w14:textId="77777777" w:rsidR="00F26E61" w:rsidRPr="00F97146" w:rsidRDefault="00F26E61" w:rsidP="00F26E61">
            <w:pPr>
              <w:numPr>
                <w:ilvl w:val="0"/>
                <w:numId w:val="75"/>
              </w:numPr>
              <w:spacing w:before="60" w:after="0"/>
              <w:rPr>
                <w:rFonts w:eastAsia="Segoe UI" w:cs="Segoe UI"/>
                <w:iCs w:val="0"/>
                <w:sz w:val="18"/>
                <w:szCs w:val="14"/>
              </w:rPr>
            </w:pPr>
            <w:r w:rsidRPr="00F97146">
              <w:rPr>
                <w:rFonts w:eastAsia="Segoe UI" w:cs="Segoe UI"/>
                <w:iCs w:val="0"/>
                <w:sz w:val="18"/>
                <w:szCs w:val="14"/>
              </w:rPr>
              <w:t>To reduce the volume of an individual TD assessment, the current definition of device according to MDCG 2019-13 “device = Basic UDI-DI” shall be streamlined to one representative device (e.g. Art / Catalogue number) within the Basic UDI-DI.</w:t>
            </w:r>
          </w:p>
          <w:p w14:paraId="044174F4" w14:textId="77777777" w:rsidR="00F26E61" w:rsidRPr="00F97146" w:rsidRDefault="00F26E61" w:rsidP="00F26E61">
            <w:pPr>
              <w:numPr>
                <w:ilvl w:val="0"/>
                <w:numId w:val="75"/>
              </w:numPr>
              <w:spacing w:before="60" w:after="0"/>
              <w:rPr>
                <w:rFonts w:eastAsia="Segoe UI" w:cs="Segoe UI"/>
                <w:iCs w:val="0"/>
                <w:sz w:val="18"/>
                <w:szCs w:val="14"/>
              </w:rPr>
            </w:pPr>
            <w:r w:rsidRPr="00F97146">
              <w:rPr>
                <w:rFonts w:eastAsia="Segoe UI" w:cs="Segoe UI"/>
                <w:iCs w:val="0"/>
                <w:sz w:val="18"/>
                <w:szCs w:val="14"/>
              </w:rPr>
              <w:t>For the selection of appropriate worst-case devices for sampling, independent of classification, the product status of BTX or orphan devices shall be an indicator to qualify for a priority in the risk-based sampling.</w:t>
            </w:r>
          </w:p>
          <w:p w14:paraId="5E30735B" w14:textId="77777777" w:rsidR="00F26E61" w:rsidRPr="00F97146" w:rsidRDefault="00F26E61" w:rsidP="00F26E61">
            <w:pPr>
              <w:numPr>
                <w:ilvl w:val="0"/>
                <w:numId w:val="75"/>
              </w:numPr>
              <w:spacing w:before="60" w:after="0"/>
              <w:rPr>
                <w:rFonts w:eastAsia="Segoe UI" w:cs="Segoe UI"/>
                <w:iCs w:val="0"/>
                <w:sz w:val="18"/>
                <w:szCs w:val="14"/>
              </w:rPr>
            </w:pPr>
            <w:r w:rsidRPr="00F97146">
              <w:rPr>
                <w:rFonts w:eastAsia="Segoe UI" w:cs="Segoe UI"/>
                <w:iCs w:val="0"/>
                <w:sz w:val="18"/>
                <w:szCs w:val="14"/>
              </w:rPr>
              <w:t>For the selection of appropriate worst-case devices for sampling, independent of classification, the product status of WET shall be an indicator to qualify for reduced priority in the risk-based sampling.</w:t>
            </w:r>
          </w:p>
          <w:p w14:paraId="03C6452D" w14:textId="77777777" w:rsidR="00F26E61" w:rsidRPr="00F97146" w:rsidRDefault="00F26E61" w:rsidP="00407A8E">
            <w:pPr>
              <w:spacing w:before="60"/>
              <w:rPr>
                <w:rFonts w:eastAsia="Segoe UI" w:cs="Segoe UI"/>
                <w:iCs w:val="0"/>
                <w:sz w:val="18"/>
                <w:szCs w:val="14"/>
              </w:rPr>
            </w:pPr>
          </w:p>
          <w:p w14:paraId="68587E07" w14:textId="77777777" w:rsidR="00F26E61" w:rsidRPr="00F97146" w:rsidRDefault="00F26E61" w:rsidP="00407A8E">
            <w:pPr>
              <w:spacing w:before="60"/>
              <w:rPr>
                <w:rFonts w:eastAsia="Segoe UI" w:cs="Segoe UI"/>
                <w:iCs w:val="0"/>
                <w:sz w:val="18"/>
                <w:szCs w:val="14"/>
              </w:rPr>
            </w:pPr>
            <w:r w:rsidRPr="00F97146">
              <w:rPr>
                <w:rFonts w:eastAsia="Segoe UI" w:cs="Segoe UI"/>
                <w:b/>
                <w:bCs/>
                <w:iCs w:val="0"/>
                <w:sz w:val="18"/>
                <w:szCs w:val="14"/>
              </w:rPr>
              <w:t>IVDR</w:t>
            </w:r>
          </w:p>
          <w:p w14:paraId="25E7B29A" w14:textId="77777777" w:rsidR="00F26E61" w:rsidRPr="00F97146" w:rsidRDefault="00F26E61" w:rsidP="00407A8E">
            <w:pPr>
              <w:spacing w:before="60"/>
              <w:rPr>
                <w:rFonts w:eastAsia="Segoe UI" w:cs="Segoe UI"/>
                <w:iCs w:val="0"/>
                <w:sz w:val="18"/>
                <w:szCs w:val="14"/>
              </w:rPr>
            </w:pPr>
            <w:r w:rsidRPr="00F97146">
              <w:rPr>
                <w:rFonts w:eastAsia="Segoe UI" w:cs="Segoe UI"/>
                <w:iCs w:val="0"/>
                <w:sz w:val="18"/>
                <w:szCs w:val="14"/>
              </w:rPr>
              <w:t>The current sampling mechanism should be maintained. However, it is acknowledged that the sampling ratio between class B and class C devices is not risk</w:t>
            </w:r>
            <w:r w:rsidRPr="00F97146">
              <w:rPr>
                <w:rFonts w:eastAsia="Segoe UI" w:cs="Segoe UI"/>
                <w:iCs w:val="0"/>
                <w:sz w:val="18"/>
                <w:szCs w:val="14"/>
              </w:rPr>
              <w:noBreakHyphen/>
              <w:t>based and may result in a higher number of class B devices being sampled than class C devices.</w:t>
            </w:r>
          </w:p>
          <w:p w14:paraId="44BB928A" w14:textId="77777777" w:rsidR="00F26E61" w:rsidRPr="00F97146" w:rsidRDefault="00F26E61" w:rsidP="00407A8E">
            <w:pPr>
              <w:spacing w:before="60"/>
              <w:rPr>
                <w:rFonts w:eastAsia="Segoe UI" w:cs="Segoe UI"/>
                <w:iCs w:val="0"/>
                <w:sz w:val="18"/>
                <w:szCs w:val="14"/>
              </w:rPr>
            </w:pPr>
          </w:p>
          <w:p w14:paraId="6AF194BE" w14:textId="77777777" w:rsidR="00F26E61" w:rsidRPr="00F97146" w:rsidRDefault="00F26E61" w:rsidP="00407A8E">
            <w:pPr>
              <w:spacing w:before="60"/>
              <w:rPr>
                <w:rFonts w:eastAsia="Segoe UI" w:cs="Segoe UI"/>
                <w:iCs w:val="0"/>
                <w:sz w:val="18"/>
                <w:szCs w:val="14"/>
              </w:rPr>
            </w:pPr>
            <w:r w:rsidRPr="00F97146">
              <w:rPr>
                <w:rFonts w:eastAsia="Segoe UI" w:cs="Segoe UI"/>
                <w:b/>
                <w:bCs/>
                <w:iCs w:val="0"/>
                <w:sz w:val="18"/>
                <w:szCs w:val="14"/>
              </w:rPr>
              <w:t>I</w:t>
            </w:r>
            <w:r w:rsidRPr="00F97146">
              <w:rPr>
                <w:rFonts w:eastAsia="Segoe UI" w:cs="Segoe UI"/>
                <w:iCs w:val="0"/>
                <w:sz w:val="18"/>
                <w:szCs w:val="14"/>
              </w:rPr>
              <w:t>ntroduce a simplified NB coding system to reduce the number of IVR codes and, consequently, the number of device categories.</w:t>
            </w:r>
          </w:p>
        </w:tc>
      </w:tr>
      <w:tr w:rsidR="00F26E61" w:rsidRPr="00F97146" w14:paraId="1A56D2EC" w14:textId="77777777" w:rsidTr="0022597C">
        <w:trPr>
          <w:trHeight w:val="324"/>
        </w:trPr>
        <w:tc>
          <w:tcPr>
            <w:tcW w:w="568" w:type="dxa"/>
          </w:tcPr>
          <w:p w14:paraId="5C394C68" w14:textId="77777777" w:rsidR="00F26E61" w:rsidRPr="00F97146" w:rsidRDefault="00F26E61" w:rsidP="00407A8E">
            <w:pPr>
              <w:spacing w:line="276" w:lineRule="auto"/>
              <w:ind w:left="-48" w:firstLine="6"/>
              <w:jc w:val="center"/>
              <w:rPr>
                <w:rFonts w:eastAsia="Segoe UI" w:cs="Segoe UI"/>
                <w:iCs w:val="0"/>
                <w:sz w:val="18"/>
                <w:szCs w:val="14"/>
              </w:rPr>
            </w:pPr>
            <w:r w:rsidRPr="00F97146">
              <w:rPr>
                <w:rFonts w:eastAsia="Segoe UI" w:cs="Segoe UI"/>
                <w:iCs w:val="0"/>
                <w:sz w:val="18"/>
                <w:szCs w:val="14"/>
              </w:rPr>
              <w:lastRenderedPageBreak/>
              <w:t>56</w:t>
            </w:r>
          </w:p>
        </w:tc>
        <w:tc>
          <w:tcPr>
            <w:tcW w:w="1132" w:type="dxa"/>
            <w:tcBorders>
              <w:top w:val="single" w:sz="4" w:space="0" w:color="auto"/>
              <w:left w:val="single" w:sz="4" w:space="0" w:color="auto"/>
              <w:bottom w:val="single" w:sz="4" w:space="0" w:color="auto"/>
              <w:right w:val="single" w:sz="4" w:space="0" w:color="auto"/>
            </w:tcBorders>
          </w:tcPr>
          <w:p w14:paraId="1D3514D7" w14:textId="77777777" w:rsidR="00F26E61" w:rsidRPr="00F97146" w:rsidRDefault="00F26E61" w:rsidP="00407A8E">
            <w:pPr>
              <w:spacing w:line="276" w:lineRule="auto"/>
              <w:ind w:left="-48" w:firstLine="6"/>
              <w:jc w:val="center"/>
              <w:rPr>
                <w:rFonts w:eastAsia="Segoe UI" w:cs="Segoe UI"/>
                <w:iCs w:val="0"/>
                <w:sz w:val="18"/>
                <w:szCs w:val="14"/>
              </w:rPr>
            </w:pPr>
            <w:r w:rsidRPr="00F97146">
              <w:rPr>
                <w:rFonts w:eastAsia="Segoe UI" w:cs="Segoe UI"/>
                <w:iCs w:val="0"/>
                <w:sz w:val="18"/>
                <w:szCs w:val="14"/>
              </w:rPr>
              <w:t>13</w:t>
            </w:r>
          </w:p>
        </w:tc>
        <w:tc>
          <w:tcPr>
            <w:tcW w:w="1106" w:type="dxa"/>
            <w:tcBorders>
              <w:top w:val="single" w:sz="4" w:space="0" w:color="auto"/>
              <w:left w:val="single" w:sz="4" w:space="0" w:color="auto"/>
              <w:bottom w:val="single" w:sz="4" w:space="0" w:color="auto"/>
              <w:right w:val="single" w:sz="4" w:space="0" w:color="auto"/>
            </w:tcBorders>
          </w:tcPr>
          <w:p w14:paraId="186D3487" w14:textId="77777777" w:rsidR="00F26E61" w:rsidRPr="00F97146" w:rsidRDefault="00F26E61" w:rsidP="00407A8E">
            <w:pPr>
              <w:spacing w:line="276" w:lineRule="auto"/>
              <w:ind w:left="75"/>
              <w:jc w:val="center"/>
              <w:rPr>
                <w:rFonts w:eastAsia="Segoe UI" w:cs="Segoe UI"/>
                <w:iCs w:val="0"/>
                <w:sz w:val="18"/>
                <w:szCs w:val="14"/>
              </w:rPr>
            </w:pPr>
            <w:r w:rsidRPr="00F97146">
              <w:rPr>
                <w:rFonts w:eastAsia="Segoe UI" w:cs="Segoe UI"/>
                <w:iCs w:val="0"/>
                <w:sz w:val="18"/>
                <w:szCs w:val="14"/>
              </w:rPr>
              <w:t>Ann I</w:t>
            </w:r>
          </w:p>
        </w:tc>
        <w:tc>
          <w:tcPr>
            <w:tcW w:w="1148" w:type="dxa"/>
            <w:tcBorders>
              <w:top w:val="single" w:sz="4" w:space="0" w:color="auto"/>
              <w:left w:val="single" w:sz="4" w:space="0" w:color="auto"/>
              <w:bottom w:val="single" w:sz="4" w:space="0" w:color="auto"/>
              <w:right w:val="single" w:sz="4" w:space="0" w:color="auto"/>
            </w:tcBorders>
          </w:tcPr>
          <w:p w14:paraId="3084F044" w14:textId="77777777" w:rsidR="00F26E61" w:rsidRPr="00F97146" w:rsidRDefault="00F26E61" w:rsidP="00407A8E">
            <w:pPr>
              <w:spacing w:before="60"/>
              <w:jc w:val="center"/>
              <w:rPr>
                <w:rFonts w:eastAsia="Segoe UI" w:cs="Segoe UI"/>
                <w:iCs w:val="0"/>
                <w:sz w:val="18"/>
                <w:szCs w:val="14"/>
              </w:rPr>
            </w:pPr>
            <w:r w:rsidRPr="00F97146">
              <w:rPr>
                <w:rFonts w:eastAsia="Segoe UI" w:cs="Segoe UI"/>
                <w:iCs w:val="0"/>
                <w:sz w:val="18"/>
                <w:szCs w:val="14"/>
              </w:rPr>
              <w:t>7</w:t>
            </w:r>
          </w:p>
        </w:tc>
        <w:tc>
          <w:tcPr>
            <w:tcW w:w="1150" w:type="dxa"/>
            <w:tcBorders>
              <w:top w:val="single" w:sz="4" w:space="0" w:color="auto"/>
              <w:left w:val="single" w:sz="4" w:space="0" w:color="auto"/>
              <w:bottom w:val="single" w:sz="4" w:space="0" w:color="auto"/>
              <w:right w:val="single" w:sz="4" w:space="0" w:color="auto"/>
            </w:tcBorders>
          </w:tcPr>
          <w:p w14:paraId="770236A5" w14:textId="77777777" w:rsidR="00F26E61" w:rsidRPr="00F97146" w:rsidRDefault="00F26E61" w:rsidP="00407A8E">
            <w:pPr>
              <w:spacing w:before="60"/>
              <w:jc w:val="center"/>
              <w:rPr>
                <w:rFonts w:eastAsia="Segoe UI" w:cs="Segoe UI"/>
                <w:iCs w:val="0"/>
                <w:sz w:val="18"/>
                <w:szCs w:val="14"/>
                <w:lang w:val="en-US"/>
              </w:rPr>
            </w:pPr>
            <w:proofErr w:type="spellStart"/>
            <w:r w:rsidRPr="00F97146">
              <w:rPr>
                <w:rFonts w:eastAsia="Segoe UI" w:cs="Segoe UI"/>
                <w:iCs w:val="0"/>
                <w:sz w:val="18"/>
                <w:szCs w:val="14"/>
                <w:lang w:val="en-US"/>
              </w:rPr>
              <w:t>a,e</w:t>
            </w:r>
            <w:proofErr w:type="spellEnd"/>
          </w:p>
        </w:tc>
        <w:tc>
          <w:tcPr>
            <w:tcW w:w="4813" w:type="dxa"/>
            <w:tcBorders>
              <w:top w:val="single" w:sz="4" w:space="0" w:color="auto"/>
              <w:left w:val="single" w:sz="4" w:space="0" w:color="auto"/>
              <w:bottom w:val="single" w:sz="4" w:space="0" w:color="auto"/>
              <w:right w:val="single" w:sz="4" w:space="0" w:color="auto"/>
            </w:tcBorders>
          </w:tcPr>
          <w:p w14:paraId="2AF73EE5" w14:textId="77777777" w:rsidR="00F26E61" w:rsidRPr="00F97146" w:rsidRDefault="00F26E61" w:rsidP="00407A8E">
            <w:pPr>
              <w:rPr>
                <w:rFonts w:eastAsia="Segoe UI" w:cs="Segoe UI"/>
                <w:iCs w:val="0"/>
                <w:sz w:val="18"/>
                <w:szCs w:val="14"/>
                <w:lang w:val="en-US"/>
              </w:rPr>
            </w:pPr>
            <w:r w:rsidRPr="00F97146">
              <w:rPr>
                <w:rFonts w:eastAsia="Segoe UI" w:cs="Segoe UI"/>
                <w:iCs w:val="0"/>
                <w:sz w:val="18"/>
                <w:szCs w:val="14"/>
                <w:lang w:val="en-US"/>
              </w:rPr>
              <w:t xml:space="preserve">TD assessment sampling - </w:t>
            </w:r>
            <w:proofErr w:type="spellStart"/>
            <w:r w:rsidRPr="00F97146">
              <w:rPr>
                <w:rFonts w:eastAsia="Segoe UI" w:cs="Segoe UI"/>
                <w:iCs w:val="0"/>
                <w:sz w:val="18"/>
                <w:szCs w:val="14"/>
                <w:lang w:val="en-US"/>
              </w:rPr>
              <w:t>surveilance</w:t>
            </w:r>
            <w:proofErr w:type="spellEnd"/>
          </w:p>
          <w:p w14:paraId="6A34A0D8" w14:textId="77777777" w:rsidR="00F26E61" w:rsidRPr="00F97146" w:rsidRDefault="00F26E61" w:rsidP="00407A8E">
            <w:pPr>
              <w:rPr>
                <w:rFonts w:eastAsia="Segoe UI" w:cs="Segoe UI"/>
                <w:iCs w:val="0"/>
                <w:sz w:val="18"/>
                <w:szCs w:val="14"/>
              </w:rPr>
            </w:pPr>
            <w:r>
              <w:rPr>
                <w:rFonts w:eastAsia="Segoe UI" w:cs="Segoe UI"/>
                <w:iCs w:val="0"/>
                <w:sz w:val="18"/>
                <w:szCs w:val="14"/>
                <w:lang w:val="en-US"/>
              </w:rPr>
              <w:t>In general,</w:t>
            </w:r>
            <w:r w:rsidRPr="00F97146">
              <w:rPr>
                <w:rFonts w:eastAsia="Segoe UI" w:cs="Segoe UI"/>
                <w:iCs w:val="0"/>
                <w:sz w:val="18"/>
                <w:szCs w:val="14"/>
              </w:rPr>
              <w:t xml:space="preserve"> the coverage of the product scope under a certification by an appropriate frequency and relevant sampling size shall not be reduced, as the safety of products and well-being of patients, and users shall outweigh the claimed potential. The way the proposal combines this measure with others lowers significantly the detection mechanism of non-compliant products and reduces significantly the mechanism of a systematic corrective and preventive mechanism for safeguarding EU’s patients’ health.</w:t>
            </w:r>
          </w:p>
          <w:p w14:paraId="000B6D84" w14:textId="77777777" w:rsidR="00F26E61" w:rsidRPr="00F97146" w:rsidRDefault="00F26E61" w:rsidP="00407A8E">
            <w:pPr>
              <w:rPr>
                <w:rFonts w:eastAsia="Segoe UI" w:cs="Segoe UI"/>
                <w:iCs w:val="0"/>
                <w:sz w:val="18"/>
                <w:szCs w:val="14"/>
              </w:rPr>
            </w:pPr>
          </w:p>
          <w:p w14:paraId="51751BC5" w14:textId="77777777" w:rsidR="00F26E61" w:rsidRPr="00F97146" w:rsidRDefault="00F26E61" w:rsidP="00407A8E">
            <w:pPr>
              <w:spacing w:before="60"/>
              <w:rPr>
                <w:rFonts w:eastAsia="Segoe UI" w:cs="Segoe UI"/>
                <w:iCs w:val="0"/>
                <w:sz w:val="18"/>
                <w:szCs w:val="14"/>
              </w:rPr>
            </w:pPr>
            <w:r w:rsidRPr="00F97146">
              <w:rPr>
                <w:rFonts w:eastAsia="Segoe UI" w:cs="Segoe UI"/>
                <w:iCs w:val="0"/>
                <w:sz w:val="18"/>
                <w:szCs w:val="14"/>
              </w:rPr>
              <w:t>It is unclear how “on-cause” shall be interpreted, e.g. if in the course of the validity of a QMS certificate, if there are further products added with different characteristics (more worst-case), does that qualify for an “on-cause” TD Assessment by the NB?</w:t>
            </w:r>
          </w:p>
          <w:p w14:paraId="14B744F7" w14:textId="77777777" w:rsidR="00F26E61" w:rsidRPr="00F97146" w:rsidRDefault="00F26E61" w:rsidP="00407A8E">
            <w:pPr>
              <w:rPr>
                <w:rFonts w:eastAsia="Segoe UI" w:cs="Segoe UI"/>
                <w:iCs w:val="0"/>
                <w:sz w:val="18"/>
                <w:szCs w:val="14"/>
              </w:rPr>
            </w:pPr>
          </w:p>
          <w:p w14:paraId="55DD6429" w14:textId="77777777" w:rsidR="00F26E61" w:rsidRPr="00F97146" w:rsidRDefault="00F26E61" w:rsidP="00407A8E">
            <w:pPr>
              <w:rPr>
                <w:rFonts w:eastAsia="Segoe UI" w:cs="Segoe UI"/>
                <w:iCs w:val="0"/>
                <w:sz w:val="18"/>
                <w:szCs w:val="14"/>
              </w:rPr>
            </w:pPr>
            <w:r w:rsidRPr="00F97146">
              <w:rPr>
                <w:rFonts w:eastAsia="Segoe UI" w:cs="Segoe UI"/>
                <w:iCs w:val="0"/>
                <w:sz w:val="18"/>
                <w:szCs w:val="14"/>
              </w:rPr>
              <w:lastRenderedPageBreak/>
              <w:t>It is strongly recommended to maintain a systematic sampling of Technical Documentation to appropriately cover the certified product range over a defined timeline. Anyhow, it is acknowledged that a leaner methodology can be used for the sampling and annual assessments itself.</w:t>
            </w:r>
          </w:p>
          <w:p w14:paraId="29586E16" w14:textId="77777777" w:rsidR="00F26E61" w:rsidRPr="00F97146" w:rsidRDefault="00F26E61" w:rsidP="00407A8E">
            <w:pPr>
              <w:spacing w:before="60"/>
              <w:rPr>
                <w:rFonts w:eastAsia="Segoe UI" w:cs="Segoe UI"/>
                <w:iCs w:val="0"/>
                <w:sz w:val="18"/>
                <w:szCs w:val="14"/>
              </w:rPr>
            </w:pPr>
          </w:p>
          <w:p w14:paraId="4083F8C4" w14:textId="77777777" w:rsidR="00F26E61" w:rsidRPr="00F97146" w:rsidRDefault="00F26E61" w:rsidP="00407A8E">
            <w:pPr>
              <w:spacing w:before="60"/>
              <w:rPr>
                <w:rFonts w:eastAsia="Segoe UI" w:cs="Segoe UI"/>
                <w:iCs w:val="0"/>
                <w:sz w:val="18"/>
                <w:szCs w:val="14"/>
              </w:rPr>
            </w:pPr>
            <w:r w:rsidRPr="00F97146">
              <w:rPr>
                <w:rFonts w:eastAsia="Segoe UI" w:cs="Segoe UI"/>
                <w:iCs w:val="0"/>
                <w:sz w:val="18"/>
                <w:szCs w:val="14"/>
              </w:rPr>
              <w:t>The fundamental rule of Annex IX, 2.3 in combination with 3.5 shall be maintained.</w:t>
            </w:r>
          </w:p>
          <w:p w14:paraId="21EB4894" w14:textId="77777777" w:rsidR="00F26E61" w:rsidRPr="00F97146" w:rsidRDefault="00F26E61" w:rsidP="00407A8E">
            <w:pPr>
              <w:spacing w:before="60"/>
              <w:rPr>
                <w:rFonts w:eastAsia="Segoe UI" w:cs="Segoe UI"/>
                <w:iCs w:val="0"/>
                <w:sz w:val="18"/>
                <w:szCs w:val="14"/>
              </w:rPr>
            </w:pPr>
            <w:r w:rsidRPr="00F97146">
              <w:rPr>
                <w:rFonts w:eastAsia="Segoe UI" w:cs="Segoe UI"/>
                <w:iCs w:val="0"/>
                <w:sz w:val="18"/>
                <w:szCs w:val="14"/>
              </w:rPr>
              <w:t xml:space="preserve">Additionally, to the measures proposed for the initial sampling above </w:t>
            </w:r>
          </w:p>
          <w:p w14:paraId="5A4C1348" w14:textId="77777777" w:rsidR="00F26E61" w:rsidRPr="00F97146" w:rsidRDefault="00F26E61" w:rsidP="00F26E61">
            <w:pPr>
              <w:pStyle w:val="Paragraphedeliste"/>
              <w:numPr>
                <w:ilvl w:val="0"/>
                <w:numId w:val="76"/>
              </w:numPr>
              <w:spacing w:before="60" w:after="0"/>
              <w:rPr>
                <w:rFonts w:eastAsia="Segoe UI" w:cs="Segoe UI"/>
                <w:iCs w:val="0"/>
                <w:sz w:val="18"/>
                <w:szCs w:val="14"/>
              </w:rPr>
            </w:pPr>
            <w:r w:rsidRPr="00F97146">
              <w:rPr>
                <w:rFonts w:eastAsia="Segoe UI" w:cs="Segoe UI"/>
                <w:iCs w:val="0"/>
                <w:sz w:val="18"/>
                <w:szCs w:val="14"/>
              </w:rPr>
              <w:t>Definition of “generic device group” and “category of device” in the legal text</w:t>
            </w:r>
          </w:p>
          <w:p w14:paraId="338C8FDE" w14:textId="77777777" w:rsidR="00F26E61" w:rsidRPr="00F97146" w:rsidRDefault="00F26E61" w:rsidP="00F26E61">
            <w:pPr>
              <w:numPr>
                <w:ilvl w:val="0"/>
                <w:numId w:val="76"/>
              </w:numPr>
              <w:spacing w:before="60" w:after="0"/>
              <w:rPr>
                <w:rFonts w:eastAsia="Segoe UI" w:cs="Segoe UI"/>
                <w:iCs w:val="0"/>
                <w:sz w:val="18"/>
                <w:szCs w:val="14"/>
              </w:rPr>
            </w:pPr>
            <w:r w:rsidRPr="00F97146">
              <w:rPr>
                <w:rFonts w:eastAsia="Segoe UI" w:cs="Segoe UI"/>
                <w:iCs w:val="0"/>
                <w:sz w:val="18"/>
                <w:szCs w:val="14"/>
              </w:rPr>
              <w:t>revision of Implementing regulation 2017/2185</w:t>
            </w:r>
          </w:p>
          <w:p w14:paraId="327801E7" w14:textId="77777777" w:rsidR="00F26E61" w:rsidRPr="00F97146" w:rsidRDefault="00F26E61" w:rsidP="00F26E61">
            <w:pPr>
              <w:numPr>
                <w:ilvl w:val="0"/>
                <w:numId w:val="76"/>
              </w:numPr>
              <w:spacing w:before="60" w:after="0"/>
              <w:rPr>
                <w:rFonts w:eastAsia="Segoe UI" w:cs="Segoe UI"/>
                <w:iCs w:val="0"/>
                <w:sz w:val="18"/>
                <w:szCs w:val="14"/>
              </w:rPr>
            </w:pPr>
            <w:r w:rsidRPr="00F97146">
              <w:rPr>
                <w:rFonts w:eastAsia="Segoe UI" w:cs="Segoe UI"/>
                <w:iCs w:val="0"/>
                <w:sz w:val="18"/>
                <w:szCs w:val="14"/>
              </w:rPr>
              <w:t>list of WET devices.</w:t>
            </w:r>
          </w:p>
          <w:p w14:paraId="40EDD4FB" w14:textId="77777777" w:rsidR="00F26E61" w:rsidRPr="00F97146" w:rsidRDefault="00F26E61" w:rsidP="00F26E61">
            <w:pPr>
              <w:numPr>
                <w:ilvl w:val="0"/>
                <w:numId w:val="76"/>
              </w:numPr>
              <w:spacing w:before="60" w:after="0"/>
              <w:rPr>
                <w:rFonts w:eastAsia="Segoe UI" w:cs="Segoe UI"/>
                <w:iCs w:val="0"/>
                <w:sz w:val="18"/>
                <w:szCs w:val="14"/>
              </w:rPr>
            </w:pPr>
            <w:r w:rsidRPr="00F97146">
              <w:rPr>
                <w:rFonts w:eastAsia="Segoe UI" w:cs="Segoe UI"/>
                <w:iCs w:val="0"/>
                <w:sz w:val="18"/>
                <w:szCs w:val="14"/>
              </w:rPr>
              <w:t>Product-specific Common Specifications or guidance</w:t>
            </w:r>
          </w:p>
          <w:p w14:paraId="7F1087C2" w14:textId="77777777" w:rsidR="00F26E61" w:rsidRPr="00F97146" w:rsidRDefault="00F26E61" w:rsidP="00407A8E">
            <w:pPr>
              <w:spacing w:before="60"/>
              <w:rPr>
                <w:rFonts w:eastAsia="Segoe UI" w:cs="Segoe UI"/>
                <w:iCs w:val="0"/>
                <w:sz w:val="18"/>
                <w:szCs w:val="14"/>
              </w:rPr>
            </w:pPr>
            <w:r w:rsidRPr="00F97146">
              <w:rPr>
                <w:rFonts w:eastAsia="Segoe UI" w:cs="Segoe UI"/>
                <w:iCs w:val="0"/>
                <w:sz w:val="18"/>
                <w:szCs w:val="14"/>
              </w:rPr>
              <w:t>MDCG 2019-13 improvements:</w:t>
            </w:r>
          </w:p>
          <w:p w14:paraId="383510DE" w14:textId="77777777" w:rsidR="00F26E61" w:rsidRPr="00F97146" w:rsidRDefault="00F26E61" w:rsidP="00F26E61">
            <w:pPr>
              <w:numPr>
                <w:ilvl w:val="0"/>
                <w:numId w:val="75"/>
              </w:numPr>
              <w:spacing w:before="60" w:after="0"/>
              <w:rPr>
                <w:rFonts w:eastAsia="Segoe UI" w:cs="Segoe UI"/>
                <w:iCs w:val="0"/>
                <w:sz w:val="18"/>
                <w:szCs w:val="14"/>
              </w:rPr>
            </w:pPr>
            <w:r w:rsidRPr="00F97146">
              <w:rPr>
                <w:rFonts w:eastAsia="Segoe UI" w:cs="Segoe UI"/>
                <w:iCs w:val="0"/>
                <w:sz w:val="18"/>
                <w:szCs w:val="14"/>
              </w:rPr>
              <w:t>“device redefined e.g. Art / Catalogue number within a Basic UDI-DI</w:t>
            </w:r>
          </w:p>
          <w:p w14:paraId="66D4E3FF" w14:textId="77777777" w:rsidR="00F26E61" w:rsidRPr="00F97146" w:rsidRDefault="00F26E61" w:rsidP="00F26E61">
            <w:pPr>
              <w:numPr>
                <w:ilvl w:val="0"/>
                <w:numId w:val="75"/>
              </w:numPr>
              <w:spacing w:before="60" w:after="0"/>
              <w:rPr>
                <w:rFonts w:eastAsia="Segoe UI" w:cs="Segoe UI"/>
                <w:iCs w:val="0"/>
                <w:sz w:val="18"/>
                <w:szCs w:val="14"/>
              </w:rPr>
            </w:pPr>
            <w:r w:rsidRPr="00F97146">
              <w:rPr>
                <w:rFonts w:eastAsia="Segoe UI" w:cs="Segoe UI"/>
                <w:iCs w:val="0"/>
                <w:sz w:val="18"/>
                <w:szCs w:val="14"/>
              </w:rPr>
              <w:t>BTX or orphan devices as indicator for risk-based sampling (higher priority).</w:t>
            </w:r>
          </w:p>
          <w:p w14:paraId="103B9531" w14:textId="77777777" w:rsidR="00F26E61" w:rsidRPr="00F97146" w:rsidRDefault="00F26E61" w:rsidP="00F26E61">
            <w:pPr>
              <w:numPr>
                <w:ilvl w:val="0"/>
                <w:numId w:val="75"/>
              </w:numPr>
              <w:spacing w:before="60" w:after="0"/>
              <w:rPr>
                <w:rFonts w:eastAsia="Segoe UI" w:cs="Segoe UI"/>
                <w:iCs w:val="0"/>
                <w:sz w:val="18"/>
                <w:szCs w:val="14"/>
              </w:rPr>
            </w:pPr>
            <w:r w:rsidRPr="00F97146">
              <w:rPr>
                <w:rFonts w:eastAsia="Segoe UI" w:cs="Segoe UI"/>
                <w:iCs w:val="0"/>
                <w:sz w:val="18"/>
                <w:szCs w:val="14"/>
              </w:rPr>
              <w:t>WET as indicator for risk-based sampling (less priority))</w:t>
            </w:r>
            <w:r w:rsidRPr="00F97146">
              <w:rPr>
                <w:rFonts w:eastAsia="Times New Roman" w:cs="Segoe UI"/>
                <w:iCs w:val="0"/>
                <w:sz w:val="18"/>
                <w:szCs w:val="14"/>
              </w:rPr>
              <w:t xml:space="preserve"> </w:t>
            </w:r>
            <w:r w:rsidRPr="00F97146">
              <w:rPr>
                <w:rFonts w:eastAsia="Segoe UI" w:cs="Segoe UI"/>
                <w:iCs w:val="0"/>
                <w:sz w:val="18"/>
                <w:szCs w:val="14"/>
              </w:rPr>
              <w:t>the following is proposed for MDR surveillance sampling for micro and small enterprises the mandatory TD sampling every year (Annex IX, 2.3 in combination with 3.5) shall be considered to be lifted for the periodic cycle in case</w:t>
            </w:r>
          </w:p>
          <w:p w14:paraId="58D72D53" w14:textId="77777777" w:rsidR="00F26E61" w:rsidRPr="00F97146" w:rsidRDefault="00F26E61" w:rsidP="00F26E61">
            <w:pPr>
              <w:numPr>
                <w:ilvl w:val="0"/>
                <w:numId w:val="75"/>
              </w:numPr>
              <w:spacing w:before="60" w:after="0"/>
              <w:rPr>
                <w:rFonts w:eastAsia="Segoe UI" w:cs="Segoe UI"/>
                <w:iCs w:val="0"/>
                <w:sz w:val="18"/>
                <w:szCs w:val="14"/>
                <w:lang w:val="en-US"/>
              </w:rPr>
            </w:pPr>
            <w:r w:rsidRPr="00F97146">
              <w:rPr>
                <w:rFonts w:eastAsia="Segoe UI" w:cs="Segoe UI"/>
                <w:iCs w:val="0"/>
                <w:sz w:val="18"/>
                <w:szCs w:val="14"/>
                <w:lang w:val="en-US"/>
              </w:rPr>
              <w:t>- the manufacturer has less than 5 devices</w:t>
            </w:r>
          </w:p>
          <w:p w14:paraId="51F2AFA7" w14:textId="77777777" w:rsidR="00F26E61" w:rsidRPr="00F97146" w:rsidRDefault="00F26E61" w:rsidP="00F26E61">
            <w:pPr>
              <w:numPr>
                <w:ilvl w:val="0"/>
                <w:numId w:val="75"/>
              </w:numPr>
              <w:spacing w:before="60" w:after="0"/>
              <w:rPr>
                <w:rFonts w:eastAsia="Segoe UI" w:cs="Segoe UI"/>
                <w:iCs w:val="0"/>
                <w:sz w:val="18"/>
                <w:szCs w:val="14"/>
              </w:rPr>
            </w:pPr>
            <w:r w:rsidRPr="00F97146">
              <w:rPr>
                <w:rFonts w:eastAsia="Segoe UI" w:cs="Segoe UI"/>
                <w:iCs w:val="0"/>
                <w:sz w:val="18"/>
                <w:szCs w:val="14"/>
              </w:rPr>
              <w:lastRenderedPageBreak/>
              <w:t>- there are no quality related issues,</w:t>
            </w:r>
          </w:p>
          <w:p w14:paraId="66498616" w14:textId="77777777" w:rsidR="00F26E61" w:rsidRPr="00F97146" w:rsidRDefault="00F26E61" w:rsidP="00F26E61">
            <w:pPr>
              <w:numPr>
                <w:ilvl w:val="0"/>
                <w:numId w:val="75"/>
              </w:numPr>
              <w:spacing w:before="60" w:after="0"/>
              <w:rPr>
                <w:rFonts w:eastAsia="Segoe UI" w:cs="Segoe UI"/>
                <w:iCs w:val="0"/>
                <w:sz w:val="18"/>
                <w:szCs w:val="14"/>
              </w:rPr>
            </w:pPr>
            <w:r w:rsidRPr="00F97146">
              <w:rPr>
                <w:rFonts w:eastAsia="Segoe UI" w:cs="Segoe UI"/>
                <w:iCs w:val="0"/>
                <w:sz w:val="18"/>
                <w:szCs w:val="14"/>
              </w:rPr>
              <w:t>- and/or there has already been a class III (no WET) TD assessment conducted for the same MDA/MDN code / EMDN (L4)</w:t>
            </w:r>
          </w:p>
          <w:p w14:paraId="2DA9F3D4" w14:textId="77777777" w:rsidR="00F26E61" w:rsidRPr="00F97146" w:rsidRDefault="00F26E61" w:rsidP="00F26E61">
            <w:pPr>
              <w:numPr>
                <w:ilvl w:val="0"/>
                <w:numId w:val="75"/>
              </w:numPr>
              <w:spacing w:before="60" w:after="0"/>
              <w:rPr>
                <w:rFonts w:eastAsia="Segoe UI" w:cs="Segoe UI"/>
                <w:iCs w:val="0"/>
                <w:sz w:val="18"/>
                <w:szCs w:val="14"/>
              </w:rPr>
            </w:pPr>
            <w:r w:rsidRPr="00F97146">
              <w:rPr>
                <w:rFonts w:eastAsia="Segoe UI" w:cs="Segoe UI"/>
                <w:iCs w:val="0"/>
                <w:sz w:val="18"/>
                <w:szCs w:val="14"/>
              </w:rPr>
              <w:t>- and/or there has already been a Class IIB (no WET) TD assessment conducted for the same MDA/MDN code / EMDN (L4)</w:t>
            </w:r>
          </w:p>
          <w:p w14:paraId="6BFBCCD4" w14:textId="77777777" w:rsidR="00F26E61" w:rsidRPr="00F97146" w:rsidRDefault="00F26E61" w:rsidP="00F26E61">
            <w:pPr>
              <w:numPr>
                <w:ilvl w:val="0"/>
                <w:numId w:val="75"/>
              </w:numPr>
              <w:spacing w:before="60" w:after="0"/>
              <w:rPr>
                <w:rFonts w:eastAsia="Segoe UI" w:cs="Segoe UI"/>
                <w:iCs w:val="0"/>
                <w:sz w:val="18"/>
                <w:szCs w:val="14"/>
              </w:rPr>
            </w:pPr>
            <w:r w:rsidRPr="00F97146">
              <w:rPr>
                <w:rFonts w:eastAsia="Segoe UI" w:cs="Segoe UI"/>
                <w:iCs w:val="0"/>
                <w:sz w:val="18"/>
                <w:szCs w:val="14"/>
              </w:rPr>
              <w:t>- as a general rule to justify the maintenance of a quality management system certificate, one TD assessment with a review period (3 years) shall be considered as the minimum.</w:t>
            </w:r>
          </w:p>
          <w:p w14:paraId="35EDBF6D" w14:textId="77777777" w:rsidR="00F26E61" w:rsidRPr="00F97146" w:rsidRDefault="00F26E61" w:rsidP="00F26E61">
            <w:pPr>
              <w:numPr>
                <w:ilvl w:val="0"/>
                <w:numId w:val="75"/>
              </w:numPr>
              <w:spacing w:before="60" w:after="0"/>
              <w:rPr>
                <w:rFonts w:eastAsia="Segoe UI" w:cs="Segoe UI"/>
                <w:iCs w:val="0"/>
                <w:sz w:val="18"/>
                <w:szCs w:val="14"/>
              </w:rPr>
            </w:pPr>
            <w:r w:rsidRPr="00F97146">
              <w:rPr>
                <w:rFonts w:eastAsia="Segoe UI" w:cs="Segoe UI"/>
                <w:iCs w:val="0"/>
                <w:sz w:val="18"/>
                <w:szCs w:val="14"/>
              </w:rPr>
              <w:t>This means for the micro and small enterprises:</w:t>
            </w:r>
          </w:p>
          <w:p w14:paraId="7CD58D57" w14:textId="77777777" w:rsidR="00F26E61" w:rsidRPr="00F97146" w:rsidRDefault="00F26E61" w:rsidP="00F26E61">
            <w:pPr>
              <w:numPr>
                <w:ilvl w:val="0"/>
                <w:numId w:val="75"/>
              </w:numPr>
              <w:spacing w:before="60" w:after="0"/>
              <w:rPr>
                <w:rFonts w:eastAsia="Segoe UI" w:cs="Segoe UI"/>
                <w:iCs w:val="0"/>
                <w:sz w:val="18"/>
                <w:szCs w:val="14"/>
                <w:lang w:val="en-US"/>
              </w:rPr>
            </w:pPr>
            <w:r w:rsidRPr="00F97146">
              <w:rPr>
                <w:rFonts w:eastAsia="Segoe UI" w:cs="Segoe UI"/>
                <w:iCs w:val="0"/>
                <w:sz w:val="18"/>
                <w:szCs w:val="14"/>
                <w:lang w:val="en-US"/>
              </w:rPr>
              <w:t>No mandatory annual TD assessment anymore</w:t>
            </w:r>
          </w:p>
          <w:p w14:paraId="279C2D28" w14:textId="77777777" w:rsidR="00F26E61" w:rsidRPr="00F97146" w:rsidRDefault="00F26E61" w:rsidP="00F26E61">
            <w:pPr>
              <w:numPr>
                <w:ilvl w:val="0"/>
                <w:numId w:val="75"/>
              </w:numPr>
              <w:spacing w:before="60" w:after="0"/>
              <w:rPr>
                <w:rFonts w:eastAsia="Segoe UI" w:cs="Segoe UI"/>
                <w:iCs w:val="0"/>
                <w:sz w:val="18"/>
                <w:szCs w:val="14"/>
                <w:lang w:val="en-US"/>
              </w:rPr>
            </w:pPr>
            <w:r w:rsidRPr="00F97146">
              <w:rPr>
                <w:rFonts w:eastAsia="Segoe UI" w:cs="Segoe UI"/>
                <w:iCs w:val="0"/>
                <w:sz w:val="18"/>
                <w:szCs w:val="14"/>
                <w:lang w:val="en-US"/>
              </w:rPr>
              <w:t>After the initial certification, only those devices are sampled which have not undergone an assessment.</w:t>
            </w:r>
          </w:p>
          <w:p w14:paraId="2D7D1666" w14:textId="77777777" w:rsidR="00F26E61" w:rsidRPr="00F97146" w:rsidRDefault="00F26E61" w:rsidP="00F26E61">
            <w:pPr>
              <w:numPr>
                <w:ilvl w:val="0"/>
                <w:numId w:val="75"/>
              </w:numPr>
              <w:spacing w:before="60" w:after="0"/>
              <w:rPr>
                <w:rFonts w:eastAsia="Segoe UI" w:cs="Segoe UI"/>
                <w:iCs w:val="0"/>
                <w:sz w:val="18"/>
                <w:szCs w:val="14"/>
                <w:lang w:val="en-US"/>
              </w:rPr>
            </w:pPr>
            <w:r w:rsidRPr="00F97146">
              <w:rPr>
                <w:rFonts w:eastAsia="Segoe UI" w:cs="Segoe UI"/>
                <w:iCs w:val="0"/>
                <w:sz w:val="18"/>
                <w:szCs w:val="14"/>
                <w:lang w:val="en-US"/>
              </w:rPr>
              <w:t>For those devices covered by a TD assessment, the NB concentrates on PMS only – during the audit by auditors (only on cause PRs shall be included into a further review)</w:t>
            </w:r>
          </w:p>
          <w:p w14:paraId="32D109BE" w14:textId="77777777" w:rsidR="00F26E61" w:rsidRPr="00F97146" w:rsidRDefault="00F26E61" w:rsidP="00F26E61">
            <w:pPr>
              <w:numPr>
                <w:ilvl w:val="0"/>
                <w:numId w:val="75"/>
              </w:numPr>
              <w:spacing w:before="60" w:after="0"/>
              <w:rPr>
                <w:rFonts w:eastAsia="Segoe UI" w:cs="Segoe UI"/>
                <w:iCs w:val="0"/>
                <w:sz w:val="18"/>
                <w:szCs w:val="14"/>
                <w:lang w:val="en-US"/>
              </w:rPr>
            </w:pPr>
            <w:r w:rsidRPr="00F97146">
              <w:rPr>
                <w:rFonts w:eastAsia="Segoe UI" w:cs="Segoe UI"/>
                <w:iCs w:val="0"/>
                <w:sz w:val="18"/>
                <w:szCs w:val="14"/>
                <w:lang w:val="en-US"/>
              </w:rPr>
              <w:t>If there are significant changes, the NB would be informed accordingly and a focused review of the affected Annex I, II aspects is conducted.</w:t>
            </w:r>
          </w:p>
          <w:p w14:paraId="186F8AD4" w14:textId="77777777" w:rsidR="00F26E61" w:rsidRDefault="00F26E61" w:rsidP="00407A8E">
            <w:pPr>
              <w:spacing w:before="60"/>
              <w:rPr>
                <w:rFonts w:eastAsia="Segoe UI" w:cs="Segoe UI"/>
                <w:b/>
                <w:bCs/>
                <w:iCs w:val="0"/>
                <w:sz w:val="18"/>
                <w:szCs w:val="14"/>
              </w:rPr>
            </w:pPr>
            <w:r w:rsidRPr="00C2339A">
              <w:rPr>
                <w:rFonts w:eastAsia="Segoe UI" w:cs="Segoe UI"/>
                <w:b/>
                <w:bCs/>
                <w:iCs w:val="0"/>
                <w:sz w:val="18"/>
                <w:szCs w:val="14"/>
              </w:rPr>
              <w:t xml:space="preserve">Final note: </w:t>
            </w:r>
          </w:p>
          <w:p w14:paraId="0A2DA177" w14:textId="77777777" w:rsidR="00F26E61" w:rsidRPr="00220524" w:rsidRDefault="00F26E61" w:rsidP="00407A8E">
            <w:pPr>
              <w:spacing w:before="60"/>
              <w:rPr>
                <w:rFonts w:eastAsia="Segoe UI" w:cs="Segoe UI"/>
                <w:iCs w:val="0"/>
                <w:sz w:val="18"/>
                <w:szCs w:val="14"/>
              </w:rPr>
            </w:pPr>
            <w:r w:rsidRPr="00220524">
              <w:rPr>
                <w:rFonts w:eastAsia="Segoe UI" w:cs="Segoe UI"/>
                <w:iCs w:val="0"/>
                <w:sz w:val="18"/>
                <w:szCs w:val="14"/>
              </w:rPr>
              <w:t>Where reliance on for</w:t>
            </w:r>
            <w:r w:rsidRPr="00220524">
              <w:rPr>
                <w:rFonts w:eastAsia="Segoe UI" w:cs="Segoe UI"/>
                <w:iCs w:val="0"/>
                <w:sz w:val="18"/>
                <w:szCs w:val="14"/>
              </w:rPr>
              <w:noBreakHyphen/>
              <w:t>cause assessments is introduced, sampling schemes shall still provide for periodic reassessment of representative devices, regardless of the absence of post</w:t>
            </w:r>
            <w:r w:rsidRPr="00220524">
              <w:rPr>
                <w:rFonts w:eastAsia="Segoe UI" w:cs="Segoe UI"/>
                <w:iCs w:val="0"/>
                <w:sz w:val="18"/>
                <w:szCs w:val="14"/>
              </w:rPr>
              <w:noBreakHyphen/>
              <w:t>market safety signals.</w:t>
            </w:r>
          </w:p>
          <w:p w14:paraId="1397F96C" w14:textId="77777777" w:rsidR="00F26E61" w:rsidRPr="00C2339A" w:rsidRDefault="00F26E61" w:rsidP="00407A8E">
            <w:pPr>
              <w:spacing w:before="60"/>
              <w:rPr>
                <w:rFonts w:eastAsia="Segoe UI" w:cs="Segoe UI"/>
                <w:b/>
                <w:bCs/>
                <w:iCs w:val="0"/>
                <w:sz w:val="18"/>
                <w:szCs w:val="14"/>
              </w:rPr>
            </w:pPr>
          </w:p>
        </w:tc>
        <w:tc>
          <w:tcPr>
            <w:tcW w:w="5251" w:type="dxa"/>
            <w:tcBorders>
              <w:top w:val="single" w:sz="4" w:space="0" w:color="auto"/>
              <w:left w:val="single" w:sz="4" w:space="0" w:color="auto"/>
              <w:bottom w:val="single" w:sz="4" w:space="0" w:color="auto"/>
              <w:right w:val="single" w:sz="4" w:space="0" w:color="auto"/>
            </w:tcBorders>
          </w:tcPr>
          <w:p w14:paraId="484857A3" w14:textId="77777777" w:rsidR="00F26E61" w:rsidRPr="00F97146" w:rsidRDefault="00F26E61" w:rsidP="00407A8E">
            <w:pPr>
              <w:spacing w:before="60"/>
              <w:rPr>
                <w:rFonts w:eastAsia="Segoe UI" w:cs="Segoe UI"/>
                <w:iCs w:val="0"/>
                <w:sz w:val="18"/>
                <w:szCs w:val="14"/>
              </w:rPr>
            </w:pPr>
            <w:r w:rsidRPr="00F97146">
              <w:rPr>
                <w:rFonts w:eastAsia="Segoe UI" w:cs="Segoe UI"/>
                <w:iCs w:val="0"/>
                <w:sz w:val="18"/>
                <w:szCs w:val="14"/>
              </w:rPr>
              <w:lastRenderedPageBreak/>
              <w:t>Keep the current approach but adopt a simplified NB code system for MDR.</w:t>
            </w:r>
          </w:p>
        </w:tc>
      </w:tr>
      <w:tr w:rsidR="00F26E61" w:rsidRPr="00F97146" w14:paraId="6A1C26E1" w14:textId="77777777" w:rsidTr="0022597C">
        <w:trPr>
          <w:trHeight w:val="324"/>
        </w:trPr>
        <w:tc>
          <w:tcPr>
            <w:tcW w:w="568" w:type="dxa"/>
          </w:tcPr>
          <w:p w14:paraId="0FE65EE3" w14:textId="77777777" w:rsidR="00F26E61" w:rsidRPr="00F97146" w:rsidRDefault="00F26E61" w:rsidP="00407A8E">
            <w:pPr>
              <w:spacing w:line="276" w:lineRule="auto"/>
              <w:ind w:left="-48" w:firstLine="6"/>
              <w:jc w:val="center"/>
              <w:rPr>
                <w:rFonts w:cs="Segoe UI"/>
                <w:iCs w:val="0"/>
                <w:sz w:val="18"/>
                <w:szCs w:val="14"/>
                <w:lang w:val="en-US"/>
              </w:rPr>
            </w:pPr>
            <w:r w:rsidRPr="00F97146">
              <w:rPr>
                <w:rFonts w:cs="Segoe UI"/>
                <w:iCs w:val="0"/>
                <w:sz w:val="18"/>
                <w:szCs w:val="14"/>
                <w:lang w:val="en-US"/>
              </w:rPr>
              <w:lastRenderedPageBreak/>
              <w:t>57</w:t>
            </w:r>
          </w:p>
        </w:tc>
        <w:tc>
          <w:tcPr>
            <w:tcW w:w="1132" w:type="dxa"/>
            <w:tcBorders>
              <w:top w:val="single" w:sz="4" w:space="0" w:color="auto"/>
              <w:left w:val="single" w:sz="4" w:space="0" w:color="auto"/>
              <w:bottom w:val="single" w:sz="4" w:space="0" w:color="auto"/>
              <w:right w:val="single" w:sz="4" w:space="0" w:color="auto"/>
            </w:tcBorders>
          </w:tcPr>
          <w:p w14:paraId="13D2D1F5" w14:textId="77777777" w:rsidR="00F26E61" w:rsidRPr="00F97146" w:rsidRDefault="00F26E61" w:rsidP="00407A8E">
            <w:pPr>
              <w:spacing w:line="276" w:lineRule="auto"/>
              <w:ind w:left="-48" w:firstLine="6"/>
              <w:jc w:val="center"/>
              <w:rPr>
                <w:rFonts w:eastAsia="Segoe UI" w:cs="Segoe UI"/>
                <w:iCs w:val="0"/>
                <w:sz w:val="18"/>
                <w:szCs w:val="14"/>
              </w:rPr>
            </w:pPr>
            <w:r w:rsidRPr="00F97146">
              <w:rPr>
                <w:rFonts w:cs="Segoe UI"/>
                <w:iCs w:val="0"/>
                <w:sz w:val="18"/>
                <w:szCs w:val="14"/>
                <w:lang w:val="en-US"/>
              </w:rPr>
              <w:t>14, 35, 36</w:t>
            </w:r>
          </w:p>
        </w:tc>
        <w:tc>
          <w:tcPr>
            <w:tcW w:w="1106" w:type="dxa"/>
            <w:tcBorders>
              <w:top w:val="single" w:sz="4" w:space="0" w:color="auto"/>
              <w:left w:val="single" w:sz="4" w:space="0" w:color="auto"/>
              <w:bottom w:val="single" w:sz="4" w:space="0" w:color="auto"/>
              <w:right w:val="single" w:sz="4" w:space="0" w:color="auto"/>
            </w:tcBorders>
          </w:tcPr>
          <w:p w14:paraId="19CD4CEB" w14:textId="77777777" w:rsidR="00F26E61" w:rsidRPr="00F97146" w:rsidRDefault="00F26E61" w:rsidP="00407A8E">
            <w:pPr>
              <w:spacing w:line="276" w:lineRule="auto"/>
              <w:ind w:left="75"/>
              <w:jc w:val="center"/>
              <w:rPr>
                <w:rFonts w:cs="Segoe UI"/>
                <w:iCs w:val="0"/>
                <w:sz w:val="18"/>
                <w:szCs w:val="14"/>
                <w:lang w:val="en-US"/>
              </w:rPr>
            </w:pPr>
            <w:r w:rsidRPr="00F97146">
              <w:rPr>
                <w:rFonts w:cs="Segoe UI"/>
                <w:iCs w:val="0"/>
                <w:sz w:val="18"/>
                <w:szCs w:val="14"/>
                <w:lang w:val="en-US"/>
              </w:rPr>
              <w:t>MDR: Ann I</w:t>
            </w:r>
          </w:p>
          <w:p w14:paraId="740C8D96" w14:textId="77777777" w:rsidR="00F26E61" w:rsidRPr="00F97146" w:rsidRDefault="00F26E61" w:rsidP="00407A8E">
            <w:pPr>
              <w:spacing w:line="276" w:lineRule="auto"/>
              <w:ind w:left="75"/>
              <w:jc w:val="center"/>
              <w:rPr>
                <w:rFonts w:cs="Segoe UI"/>
                <w:iCs w:val="0"/>
                <w:sz w:val="18"/>
                <w:szCs w:val="14"/>
                <w:lang w:val="en-US"/>
              </w:rPr>
            </w:pPr>
            <w:r w:rsidRPr="00F97146">
              <w:rPr>
                <w:rFonts w:cs="Segoe UI"/>
                <w:iCs w:val="0"/>
                <w:sz w:val="18"/>
                <w:szCs w:val="14"/>
                <w:lang w:val="en-US"/>
              </w:rPr>
              <w:t>IVDR: Ann II</w:t>
            </w:r>
          </w:p>
        </w:tc>
        <w:tc>
          <w:tcPr>
            <w:tcW w:w="1148" w:type="dxa"/>
            <w:tcBorders>
              <w:top w:val="single" w:sz="4" w:space="0" w:color="auto"/>
              <w:left w:val="single" w:sz="4" w:space="0" w:color="auto"/>
              <w:bottom w:val="single" w:sz="4" w:space="0" w:color="auto"/>
              <w:right w:val="single" w:sz="4" w:space="0" w:color="auto"/>
            </w:tcBorders>
          </w:tcPr>
          <w:p w14:paraId="20A0B8DE" w14:textId="77777777" w:rsidR="00F26E61" w:rsidRPr="00F97146" w:rsidRDefault="00F26E61" w:rsidP="00407A8E">
            <w:pPr>
              <w:spacing w:before="60"/>
              <w:jc w:val="center"/>
              <w:rPr>
                <w:rFonts w:cs="Segoe UI"/>
                <w:iCs w:val="0"/>
                <w:sz w:val="18"/>
                <w:szCs w:val="14"/>
              </w:rPr>
            </w:pPr>
            <w:r w:rsidRPr="00F97146">
              <w:rPr>
                <w:rFonts w:cs="Segoe UI"/>
                <w:iCs w:val="0"/>
                <w:sz w:val="18"/>
                <w:szCs w:val="14"/>
              </w:rPr>
              <w:t>MDR: 7</w:t>
            </w:r>
          </w:p>
          <w:p w14:paraId="50E0DC69" w14:textId="77777777" w:rsidR="00F26E61" w:rsidRPr="00F97146" w:rsidRDefault="00F26E61" w:rsidP="00407A8E">
            <w:pPr>
              <w:spacing w:before="60"/>
              <w:jc w:val="center"/>
              <w:rPr>
                <w:rFonts w:cs="Segoe UI"/>
                <w:iCs w:val="0"/>
                <w:sz w:val="18"/>
                <w:szCs w:val="14"/>
              </w:rPr>
            </w:pPr>
            <w:r w:rsidRPr="00F97146">
              <w:rPr>
                <w:rFonts w:cs="Segoe UI"/>
                <w:iCs w:val="0"/>
                <w:sz w:val="18"/>
                <w:szCs w:val="14"/>
              </w:rPr>
              <w:t>IVDR: 6</w:t>
            </w:r>
          </w:p>
        </w:tc>
        <w:tc>
          <w:tcPr>
            <w:tcW w:w="1150" w:type="dxa"/>
            <w:tcBorders>
              <w:top w:val="single" w:sz="4" w:space="0" w:color="auto"/>
              <w:left w:val="single" w:sz="4" w:space="0" w:color="auto"/>
              <w:bottom w:val="single" w:sz="4" w:space="0" w:color="auto"/>
              <w:right w:val="single" w:sz="4" w:space="0" w:color="auto"/>
            </w:tcBorders>
          </w:tcPr>
          <w:p w14:paraId="5D749816" w14:textId="77777777" w:rsidR="00F26E61" w:rsidRPr="00844514" w:rsidRDefault="00F26E61" w:rsidP="00407A8E">
            <w:pPr>
              <w:pStyle w:val="ISOParagraph"/>
              <w:spacing w:before="60" w:line="240" w:lineRule="auto"/>
              <w:jc w:val="center"/>
              <w:rPr>
                <w:rFonts w:ascii="Aptos" w:hAnsi="Aptos" w:cs="Segoe UI"/>
                <w:sz w:val="18"/>
                <w:szCs w:val="14"/>
                <w:lang w:val="de-DE"/>
              </w:rPr>
            </w:pPr>
            <w:r w:rsidRPr="00844514">
              <w:rPr>
                <w:rFonts w:ascii="Aptos" w:hAnsi="Aptos" w:cs="Segoe UI"/>
                <w:sz w:val="18"/>
                <w:szCs w:val="14"/>
                <w:lang w:val="de-DE"/>
              </w:rPr>
              <w:t>MDR: c</w:t>
            </w:r>
          </w:p>
          <w:p w14:paraId="5CFB6C11" w14:textId="77777777" w:rsidR="00F26E61" w:rsidRPr="00844514" w:rsidRDefault="00F26E61" w:rsidP="00407A8E">
            <w:pPr>
              <w:pStyle w:val="ISOParagraph"/>
              <w:spacing w:before="60" w:line="240" w:lineRule="auto"/>
              <w:jc w:val="center"/>
              <w:rPr>
                <w:rFonts w:ascii="Aptos" w:hAnsi="Aptos" w:cs="Segoe UI"/>
                <w:sz w:val="18"/>
                <w:szCs w:val="14"/>
                <w:lang w:val="de-DE"/>
              </w:rPr>
            </w:pPr>
            <w:r w:rsidRPr="00844514">
              <w:rPr>
                <w:rFonts w:ascii="Aptos" w:hAnsi="Aptos" w:cs="Segoe UI"/>
                <w:sz w:val="18"/>
                <w:szCs w:val="14"/>
                <w:lang w:val="de-DE"/>
              </w:rPr>
              <w:t xml:space="preserve">IVDR: </w:t>
            </w:r>
            <w:proofErr w:type="spellStart"/>
            <w:r w:rsidRPr="00844514">
              <w:rPr>
                <w:rFonts w:ascii="Aptos" w:hAnsi="Aptos" w:cs="Segoe UI"/>
                <w:sz w:val="18"/>
                <w:szCs w:val="14"/>
                <w:lang w:val="de-DE"/>
              </w:rPr>
              <w:t>a,e</w:t>
            </w:r>
            <w:proofErr w:type="spellEnd"/>
          </w:p>
        </w:tc>
        <w:tc>
          <w:tcPr>
            <w:tcW w:w="4813" w:type="dxa"/>
            <w:tcBorders>
              <w:top w:val="single" w:sz="4" w:space="0" w:color="auto"/>
              <w:left w:val="single" w:sz="4" w:space="0" w:color="auto"/>
              <w:bottom w:val="single" w:sz="4" w:space="0" w:color="auto"/>
              <w:right w:val="single" w:sz="4" w:space="0" w:color="auto"/>
            </w:tcBorders>
          </w:tcPr>
          <w:p w14:paraId="346DAD7B" w14:textId="77777777" w:rsidR="00F26E61" w:rsidRPr="00F97146" w:rsidRDefault="00F26E61" w:rsidP="00407A8E">
            <w:pPr>
              <w:pStyle w:val="ISOChange"/>
              <w:spacing w:before="0" w:line="240" w:lineRule="auto"/>
              <w:rPr>
                <w:rFonts w:ascii="Aptos" w:hAnsi="Aptos" w:cs="Segoe UI"/>
                <w:sz w:val="18"/>
                <w:szCs w:val="14"/>
              </w:rPr>
            </w:pPr>
            <w:r w:rsidRPr="00F97146">
              <w:rPr>
                <w:rFonts w:ascii="Aptos" w:hAnsi="Aptos" w:cs="Segoe UI"/>
                <w:sz w:val="18"/>
                <w:szCs w:val="14"/>
              </w:rPr>
              <w:t>Surveillance audits</w:t>
            </w:r>
          </w:p>
          <w:p w14:paraId="6EA51156" w14:textId="77777777" w:rsidR="00F26E61" w:rsidRPr="00F97146" w:rsidRDefault="00F26E61" w:rsidP="00407A8E">
            <w:pPr>
              <w:pStyle w:val="ISOChange"/>
              <w:spacing w:before="0" w:line="240" w:lineRule="auto"/>
              <w:rPr>
                <w:rFonts w:ascii="Aptos" w:hAnsi="Aptos" w:cs="Segoe UI"/>
                <w:b/>
                <w:bCs/>
                <w:sz w:val="18"/>
                <w:szCs w:val="14"/>
              </w:rPr>
            </w:pPr>
            <w:r w:rsidRPr="00F97146">
              <w:rPr>
                <w:rFonts w:ascii="Aptos" w:hAnsi="Aptos" w:cs="Segoe UI"/>
                <w:b/>
                <w:bCs/>
                <w:sz w:val="18"/>
                <w:szCs w:val="14"/>
              </w:rPr>
              <w:t>MDR</w:t>
            </w:r>
          </w:p>
          <w:p w14:paraId="4D96FF49" w14:textId="77777777" w:rsidR="00F26E61" w:rsidRPr="00F97146" w:rsidRDefault="00F26E61" w:rsidP="00407A8E">
            <w:pPr>
              <w:pStyle w:val="ISOChange"/>
              <w:spacing w:before="0" w:line="240" w:lineRule="auto"/>
              <w:rPr>
                <w:rFonts w:ascii="Aptos" w:hAnsi="Aptos" w:cs="Segoe UI"/>
                <w:sz w:val="18"/>
                <w:szCs w:val="14"/>
              </w:rPr>
            </w:pPr>
            <w:r w:rsidRPr="00F97146">
              <w:rPr>
                <w:rFonts w:ascii="Aptos" w:hAnsi="Aptos" w:cs="Segoe UI"/>
                <w:sz w:val="18"/>
                <w:szCs w:val="14"/>
              </w:rPr>
              <w:t>An absence of reported safety issues does not necessarily indicate adequate conformity with MDR/IVDR requirements. Most manufacturers hold additional QMS certification (e.g. ISO 13485 and/or MDSAP), meaning that NBs will continue to conduct annual audits under these schemes. As a result, this change appears to offer little practical benefit to manufacturers.</w:t>
            </w:r>
          </w:p>
          <w:p w14:paraId="34CC74DA" w14:textId="77777777" w:rsidR="00F26E61" w:rsidRPr="00F97146" w:rsidRDefault="00F26E61" w:rsidP="00407A8E">
            <w:pPr>
              <w:pStyle w:val="ISOChange"/>
              <w:spacing w:line="240" w:lineRule="auto"/>
              <w:rPr>
                <w:rFonts w:ascii="Aptos" w:hAnsi="Aptos" w:cs="Segoe UI"/>
                <w:b/>
                <w:bCs/>
                <w:sz w:val="18"/>
                <w:szCs w:val="14"/>
              </w:rPr>
            </w:pPr>
          </w:p>
          <w:p w14:paraId="22ABA72A" w14:textId="77777777" w:rsidR="00F26E61" w:rsidRPr="00F97146" w:rsidRDefault="00F26E61" w:rsidP="00407A8E">
            <w:pPr>
              <w:pStyle w:val="ISOChange"/>
              <w:spacing w:before="0" w:line="240" w:lineRule="auto"/>
              <w:rPr>
                <w:rFonts w:ascii="Aptos" w:hAnsi="Aptos" w:cs="Segoe UI"/>
                <w:sz w:val="18"/>
                <w:szCs w:val="14"/>
              </w:rPr>
            </w:pPr>
            <w:r w:rsidRPr="00F97146">
              <w:rPr>
                <w:rFonts w:ascii="Aptos" w:hAnsi="Aptos" w:cs="Segoe UI"/>
                <w:sz w:val="18"/>
                <w:szCs w:val="14"/>
              </w:rPr>
              <w:t>The requirement that, under certain conditions, surveillance audits and assessments should only be carried out every 24 months instead of every 12 months creates legal uncertainty and will lead to very different interpretations, as there are no specific requirements. Furthermore, it is below state of the art of internationally recognized certification schemes (in particular MDSAP certification and EN ISO 13485 certification), which stipulate regular certification and annual monitoring. Therefore, mandatory surveillance audits shall continue to take place annually in the interests of uniform requirements, a reliable level of monitoring, and uniform competitive conditions.</w:t>
            </w:r>
          </w:p>
          <w:p w14:paraId="2E38B32D" w14:textId="77777777" w:rsidR="00F26E61" w:rsidRPr="00F97146" w:rsidRDefault="00F26E61" w:rsidP="00407A8E">
            <w:pPr>
              <w:pStyle w:val="ISOChange"/>
              <w:spacing w:line="240" w:lineRule="auto"/>
              <w:rPr>
                <w:rFonts w:ascii="Aptos" w:hAnsi="Aptos" w:cs="Segoe UI"/>
                <w:sz w:val="18"/>
                <w:szCs w:val="14"/>
              </w:rPr>
            </w:pPr>
          </w:p>
          <w:p w14:paraId="503E92AC" w14:textId="77777777" w:rsidR="00F26E61" w:rsidRPr="00F97146" w:rsidRDefault="00F26E61" w:rsidP="00407A8E">
            <w:pPr>
              <w:pStyle w:val="ISOChange"/>
              <w:spacing w:before="0" w:line="240" w:lineRule="auto"/>
              <w:rPr>
                <w:rFonts w:ascii="Aptos" w:hAnsi="Aptos" w:cs="Segoe UI"/>
                <w:iCs/>
                <w:sz w:val="18"/>
                <w:szCs w:val="14"/>
              </w:rPr>
            </w:pPr>
            <w:r w:rsidRPr="00F97146">
              <w:rPr>
                <w:rFonts w:ascii="Aptos" w:hAnsi="Aptos" w:cs="Segoe UI"/>
                <w:sz w:val="18"/>
                <w:szCs w:val="14"/>
              </w:rPr>
              <w:t>It</w:t>
            </w:r>
            <w:r w:rsidRPr="00F97146">
              <w:rPr>
                <w:rFonts w:ascii="Aptos" w:hAnsi="Aptos" w:cs="Segoe UI"/>
                <w:iCs/>
                <w:sz w:val="18"/>
                <w:szCs w:val="14"/>
              </w:rPr>
              <w:t xml:space="preserve"> is strongly suggested to integrate the MDCG 2019-6, </w:t>
            </w:r>
            <w:r w:rsidRPr="00F97146">
              <w:rPr>
                <w:rFonts w:ascii="Aptos" w:hAnsi="Aptos" w:cs="Segoe UI"/>
                <w:iCs/>
                <w:sz w:val="18"/>
                <w:szCs w:val="14"/>
                <w:lang w:val="en-US"/>
              </w:rPr>
              <w:t xml:space="preserve">IV.10. </w:t>
            </w:r>
            <w:r w:rsidRPr="00F97146">
              <w:rPr>
                <w:rFonts w:ascii="Aptos" w:hAnsi="Aptos" w:cs="Segoe UI"/>
                <w:iCs/>
                <w:sz w:val="18"/>
                <w:szCs w:val="14"/>
              </w:rPr>
              <w:t xml:space="preserve">clarification for “surveillance audit due dates” for harmonisation. </w:t>
            </w:r>
          </w:p>
          <w:p w14:paraId="0B8DBBB6" w14:textId="77777777" w:rsidR="00F26E61" w:rsidRPr="00F97146" w:rsidRDefault="00F26E61" w:rsidP="00407A8E">
            <w:pPr>
              <w:pStyle w:val="ISOChange"/>
              <w:spacing w:before="0" w:line="240" w:lineRule="auto"/>
              <w:rPr>
                <w:rFonts w:ascii="Aptos" w:hAnsi="Aptos" w:cs="Segoe UI"/>
                <w:iCs/>
                <w:sz w:val="18"/>
                <w:szCs w:val="14"/>
              </w:rPr>
            </w:pPr>
          </w:p>
          <w:p w14:paraId="5766E5D2" w14:textId="77777777" w:rsidR="00F26E61" w:rsidRPr="00F97146" w:rsidRDefault="00F26E61" w:rsidP="00407A8E">
            <w:pPr>
              <w:pStyle w:val="ISOChange"/>
              <w:spacing w:before="0" w:line="240" w:lineRule="auto"/>
              <w:rPr>
                <w:rFonts w:ascii="Aptos" w:hAnsi="Aptos" w:cs="Segoe UI"/>
                <w:b/>
                <w:bCs/>
                <w:iCs/>
                <w:sz w:val="18"/>
                <w:szCs w:val="14"/>
              </w:rPr>
            </w:pPr>
            <w:r w:rsidRPr="00F97146">
              <w:rPr>
                <w:rFonts w:ascii="Aptos" w:hAnsi="Aptos" w:cs="Segoe UI"/>
                <w:b/>
                <w:bCs/>
                <w:iCs/>
                <w:sz w:val="18"/>
                <w:szCs w:val="14"/>
              </w:rPr>
              <w:t>IVDR</w:t>
            </w:r>
          </w:p>
          <w:p w14:paraId="218B85AE" w14:textId="77777777" w:rsidR="00F26E61" w:rsidRPr="00F97146" w:rsidRDefault="00F26E61" w:rsidP="00407A8E">
            <w:pPr>
              <w:pStyle w:val="ISOChange"/>
              <w:spacing w:before="0"/>
              <w:rPr>
                <w:rFonts w:ascii="Aptos" w:hAnsi="Aptos" w:cs="Segoe UI"/>
                <w:sz w:val="18"/>
                <w:szCs w:val="14"/>
              </w:rPr>
            </w:pPr>
            <w:r w:rsidRPr="00F97146">
              <w:rPr>
                <w:rFonts w:ascii="Aptos" w:hAnsi="Aptos" w:cs="Segoe UI"/>
                <w:sz w:val="18"/>
                <w:szCs w:val="14"/>
              </w:rPr>
              <w:t>Commission proposal:</w:t>
            </w:r>
          </w:p>
          <w:p w14:paraId="00941644" w14:textId="77777777" w:rsidR="00F26E61" w:rsidRPr="00F97146" w:rsidRDefault="00F26E61" w:rsidP="00407A8E">
            <w:pPr>
              <w:pStyle w:val="ISOChange"/>
              <w:spacing w:before="0"/>
              <w:rPr>
                <w:rFonts w:ascii="Aptos" w:hAnsi="Aptos" w:cs="Segoe UI"/>
                <w:sz w:val="18"/>
                <w:szCs w:val="14"/>
              </w:rPr>
            </w:pPr>
            <w:r w:rsidRPr="00F97146">
              <w:rPr>
                <w:rFonts w:ascii="Aptos" w:hAnsi="Aptos" w:cs="Segoe UI"/>
                <w:sz w:val="18"/>
                <w:szCs w:val="14"/>
              </w:rPr>
              <w:t>“</w:t>
            </w:r>
            <w:r w:rsidRPr="00F97146">
              <w:rPr>
                <w:rFonts w:ascii="Aptos" w:hAnsi="Aptos" w:cs="Segoe UI"/>
                <w:i/>
                <w:iCs/>
                <w:sz w:val="18"/>
                <w:szCs w:val="14"/>
              </w:rPr>
              <w:t>In the case of class B and class C devices, during the surveillance assessment the notified body may include a ‘for-cause’ assessment of the technical documentation of representative devices where the notified body has identified potential concerns on the basis of post-market surveillance data or other duly justified grounds.”</w:t>
            </w:r>
          </w:p>
          <w:p w14:paraId="4C26EF11" w14:textId="77777777" w:rsidR="00F26E61" w:rsidRPr="00F97146" w:rsidRDefault="00F26E61" w:rsidP="00407A8E">
            <w:pPr>
              <w:pStyle w:val="ISOChange"/>
              <w:spacing w:before="0"/>
              <w:rPr>
                <w:rFonts w:ascii="Aptos" w:hAnsi="Aptos" w:cs="Segoe UI"/>
                <w:sz w:val="18"/>
                <w:szCs w:val="14"/>
              </w:rPr>
            </w:pPr>
          </w:p>
          <w:p w14:paraId="0CAE3A25" w14:textId="77777777" w:rsidR="00F26E61" w:rsidRPr="00F97146" w:rsidRDefault="00F26E61" w:rsidP="00407A8E">
            <w:pPr>
              <w:pStyle w:val="ISOChange"/>
              <w:rPr>
                <w:rFonts w:ascii="Aptos" w:hAnsi="Aptos" w:cs="Segoe UI"/>
                <w:sz w:val="18"/>
                <w:szCs w:val="14"/>
              </w:rPr>
            </w:pPr>
            <w:r w:rsidRPr="00F97146">
              <w:rPr>
                <w:rFonts w:ascii="Aptos" w:hAnsi="Aptos" w:cs="Segoe UI"/>
                <w:sz w:val="18"/>
                <w:szCs w:val="14"/>
              </w:rPr>
              <w:t>The current proposal suggests introducing a surveillance sampling mechanism that would lower the level of assessment to that applied before the IVDR—and potentially even below the requirements of the former directive. Ongoing assessment of technical documentation during surveillance is essential, as it enables the early identification of significant issues.</w:t>
            </w:r>
          </w:p>
          <w:p w14:paraId="12F949A7" w14:textId="77777777" w:rsidR="00F26E61" w:rsidRPr="00F97146" w:rsidRDefault="00F26E61" w:rsidP="00407A8E">
            <w:pPr>
              <w:pStyle w:val="ISOChange"/>
              <w:spacing w:before="0"/>
              <w:rPr>
                <w:rFonts w:ascii="Aptos" w:hAnsi="Aptos" w:cs="Segoe UI"/>
                <w:sz w:val="18"/>
                <w:szCs w:val="14"/>
              </w:rPr>
            </w:pPr>
          </w:p>
          <w:p w14:paraId="008B4597" w14:textId="77777777" w:rsidR="00F26E61" w:rsidRPr="00F97146" w:rsidRDefault="00F26E61" w:rsidP="00407A8E">
            <w:pPr>
              <w:pStyle w:val="ISOChange"/>
              <w:spacing w:before="0" w:line="240" w:lineRule="auto"/>
              <w:rPr>
                <w:rFonts w:ascii="Aptos" w:hAnsi="Aptos" w:cs="Segoe UI"/>
                <w:iCs/>
                <w:sz w:val="18"/>
                <w:szCs w:val="14"/>
              </w:rPr>
            </w:pPr>
            <w:r w:rsidRPr="00F97146">
              <w:rPr>
                <w:rFonts w:ascii="Aptos" w:hAnsi="Aptos" w:cs="Segoe UI"/>
                <w:iCs/>
                <w:sz w:val="18"/>
                <w:szCs w:val="14"/>
              </w:rPr>
              <w:t>NB reviews frequently lead to important corrections, such as refining or reducing the intended purpose, removing specimen types, requiring additional studies, or implementing labelling changes to improve clarity for users, including professional users. Such reviews substantially reduce the likelihood of safety concerns and non</w:t>
            </w:r>
            <w:r w:rsidRPr="00F97146">
              <w:rPr>
                <w:rFonts w:ascii="Aptos" w:hAnsi="Aptos" w:cs="Segoe UI"/>
                <w:iCs/>
                <w:sz w:val="18"/>
                <w:szCs w:val="14"/>
              </w:rPr>
              <w:noBreakHyphen/>
              <w:t>conformities.</w:t>
            </w:r>
          </w:p>
          <w:p w14:paraId="79F974FD" w14:textId="77777777" w:rsidR="00F26E61" w:rsidRPr="00F97146" w:rsidRDefault="00F26E61" w:rsidP="00407A8E">
            <w:pPr>
              <w:pStyle w:val="ISOChange"/>
              <w:spacing w:before="0" w:line="240" w:lineRule="auto"/>
              <w:rPr>
                <w:rFonts w:ascii="Aptos" w:hAnsi="Aptos" w:cs="Segoe UI"/>
                <w:iCs/>
                <w:sz w:val="18"/>
                <w:szCs w:val="14"/>
              </w:rPr>
            </w:pPr>
          </w:p>
          <w:p w14:paraId="720A0485" w14:textId="77777777" w:rsidR="00F26E61" w:rsidRPr="00F97146" w:rsidRDefault="00F26E61" w:rsidP="00407A8E">
            <w:pPr>
              <w:pStyle w:val="ISOChange"/>
              <w:spacing w:line="240" w:lineRule="auto"/>
              <w:rPr>
                <w:rFonts w:ascii="Aptos" w:hAnsi="Aptos" w:cs="Segoe UI"/>
                <w:sz w:val="18"/>
                <w:szCs w:val="14"/>
              </w:rPr>
            </w:pPr>
            <w:r w:rsidRPr="00F97146">
              <w:rPr>
                <w:rFonts w:ascii="Aptos" w:hAnsi="Aptos" w:cs="Segoe UI"/>
                <w:sz w:val="18"/>
                <w:szCs w:val="14"/>
              </w:rPr>
              <w:t>Please see a real-life example below that demonstrate the risks that are related to this change:</w:t>
            </w:r>
          </w:p>
          <w:p w14:paraId="055C5C61" w14:textId="77777777" w:rsidR="00F26E61" w:rsidRDefault="00F26E61" w:rsidP="00407A8E">
            <w:pPr>
              <w:pStyle w:val="ISOChange"/>
              <w:spacing w:line="240" w:lineRule="auto"/>
              <w:rPr>
                <w:rFonts w:ascii="Aptos" w:hAnsi="Aptos" w:cs="Segoe UI"/>
                <w:iCs/>
                <w:sz w:val="18"/>
                <w:szCs w:val="14"/>
              </w:rPr>
            </w:pPr>
            <w:r w:rsidRPr="00F97146">
              <w:rPr>
                <w:rFonts w:ascii="Aptos" w:hAnsi="Aptos" w:cs="Segoe UI"/>
                <w:iCs/>
                <w:sz w:val="18"/>
                <w:szCs w:val="14"/>
              </w:rPr>
              <w:t>During an audit of an IVD manufacturer (device placed on the market under the IVDD), the severity of an incorrect readout had been classified as low. In reality, incorrect values could cause serious harm to patients. This underestimation meant that the PMS system would not have triggered appropriate actions, potentially leading to dangerous situations had the issue remained undetected.</w:t>
            </w:r>
          </w:p>
          <w:p w14:paraId="4350A4AB" w14:textId="77777777" w:rsidR="00F26E61" w:rsidRPr="00F97146" w:rsidRDefault="00F26E61" w:rsidP="00407A8E">
            <w:pPr>
              <w:pStyle w:val="ISOChange"/>
              <w:spacing w:line="240" w:lineRule="auto"/>
              <w:rPr>
                <w:rFonts w:ascii="Aptos" w:hAnsi="Aptos" w:cs="Arial"/>
                <w:sz w:val="18"/>
                <w:szCs w:val="14"/>
              </w:rPr>
            </w:pPr>
            <w:r w:rsidRPr="00D47E73">
              <w:rPr>
                <w:rFonts w:ascii="Aptos" w:hAnsi="Aptos" w:cs="Arial"/>
                <w:b/>
                <w:bCs/>
                <w:sz w:val="18"/>
                <w:szCs w:val="14"/>
              </w:rPr>
              <w:t>Final note:</w:t>
            </w:r>
            <w:r>
              <w:rPr>
                <w:rFonts w:ascii="Aptos" w:hAnsi="Aptos" w:cs="Arial"/>
                <w:sz w:val="18"/>
                <w:szCs w:val="14"/>
              </w:rPr>
              <w:t xml:space="preserve"> </w:t>
            </w:r>
            <w:r w:rsidRPr="00DA5B00">
              <w:rPr>
                <w:rFonts w:ascii="Aptos" w:hAnsi="Aptos" w:cs="Arial"/>
                <w:sz w:val="18"/>
                <w:szCs w:val="14"/>
              </w:rPr>
              <w:t>The reduction of surveillance audits</w:t>
            </w:r>
            <w:r>
              <w:rPr>
                <w:rFonts w:ascii="Aptos" w:hAnsi="Aptos" w:cs="Arial"/>
                <w:sz w:val="18"/>
                <w:szCs w:val="14"/>
              </w:rPr>
              <w:t xml:space="preserve"> in MDR and IVDR</w:t>
            </w:r>
            <w:r w:rsidRPr="00DA5B00">
              <w:rPr>
                <w:rFonts w:ascii="Aptos" w:hAnsi="Aptos" w:cs="Arial"/>
                <w:sz w:val="18"/>
                <w:szCs w:val="14"/>
              </w:rPr>
              <w:t xml:space="preserve"> shall not </w:t>
            </w:r>
            <w:r>
              <w:rPr>
                <w:rFonts w:ascii="Aptos" w:hAnsi="Aptos" w:cs="Arial"/>
                <w:sz w:val="18"/>
                <w:szCs w:val="14"/>
              </w:rPr>
              <w:t>considered</w:t>
            </w:r>
            <w:r w:rsidRPr="00DA5B00">
              <w:rPr>
                <w:rFonts w:ascii="Aptos" w:hAnsi="Aptos" w:cs="Arial"/>
                <w:sz w:val="18"/>
                <w:szCs w:val="14"/>
              </w:rPr>
              <w:t xml:space="preserve"> in isolation. Where combined with reduced technical documentation sampling, reduced PSUR review or reliance on for</w:t>
            </w:r>
            <w:r w:rsidRPr="00DA5B00">
              <w:rPr>
                <w:rFonts w:ascii="Cambria Math" w:hAnsi="Cambria Math" w:cs="Cambria Math"/>
                <w:sz w:val="18"/>
                <w:szCs w:val="14"/>
              </w:rPr>
              <w:t>‑</w:t>
            </w:r>
            <w:r w:rsidRPr="00DA5B00">
              <w:rPr>
                <w:rFonts w:ascii="Aptos" w:hAnsi="Aptos" w:cs="Arial"/>
                <w:sz w:val="18"/>
                <w:szCs w:val="14"/>
              </w:rPr>
              <w:t>cause assessments, the cumulative effect may significantly weaken preventive oversight.</w:t>
            </w:r>
          </w:p>
        </w:tc>
        <w:tc>
          <w:tcPr>
            <w:tcW w:w="5251" w:type="dxa"/>
            <w:tcBorders>
              <w:top w:val="single" w:sz="4" w:space="0" w:color="auto"/>
              <w:left w:val="single" w:sz="4" w:space="0" w:color="auto"/>
              <w:bottom w:val="single" w:sz="4" w:space="0" w:color="auto"/>
              <w:right w:val="single" w:sz="4" w:space="0" w:color="auto"/>
            </w:tcBorders>
          </w:tcPr>
          <w:p w14:paraId="07CA0D24" w14:textId="77777777" w:rsidR="00F26E61" w:rsidRPr="00F97146" w:rsidRDefault="00F26E61" w:rsidP="00407A8E">
            <w:pPr>
              <w:pStyle w:val="Corpsdetexte"/>
              <w:spacing w:after="0" w:line="240" w:lineRule="auto"/>
              <w:jc w:val="left"/>
              <w:rPr>
                <w:rFonts w:ascii="Aptos" w:hAnsi="Aptos" w:cs="Segoe UI"/>
                <w:b/>
                <w:bCs/>
                <w:sz w:val="18"/>
                <w:szCs w:val="14"/>
              </w:rPr>
            </w:pPr>
            <w:r w:rsidRPr="00F97146">
              <w:rPr>
                <w:rFonts w:ascii="Aptos" w:hAnsi="Aptos" w:cs="Segoe UI"/>
                <w:b/>
                <w:bCs/>
                <w:sz w:val="18"/>
                <w:szCs w:val="14"/>
              </w:rPr>
              <w:lastRenderedPageBreak/>
              <w:t>MDR</w:t>
            </w:r>
          </w:p>
          <w:p w14:paraId="6D66C976" w14:textId="77777777" w:rsidR="00F26E61" w:rsidRPr="00F97146" w:rsidRDefault="00F26E61" w:rsidP="00407A8E">
            <w:pPr>
              <w:pStyle w:val="Corpsdetexte"/>
              <w:spacing w:after="0" w:line="240" w:lineRule="auto"/>
              <w:rPr>
                <w:rFonts w:ascii="Aptos" w:hAnsi="Aptos" w:cs="Segoe UI"/>
                <w:sz w:val="18"/>
                <w:szCs w:val="14"/>
              </w:rPr>
            </w:pPr>
            <w:r w:rsidRPr="00F97146">
              <w:rPr>
                <w:rFonts w:ascii="Aptos" w:hAnsi="Aptos" w:cs="Segoe UI"/>
                <w:sz w:val="18"/>
                <w:szCs w:val="14"/>
              </w:rPr>
              <w:t>Team NB proposed text (Sec 3.3):</w:t>
            </w:r>
          </w:p>
          <w:p w14:paraId="1B4B943A" w14:textId="77777777" w:rsidR="00F26E61" w:rsidRPr="00F97146" w:rsidRDefault="00F26E61" w:rsidP="00407A8E">
            <w:pPr>
              <w:pStyle w:val="Corpsdetexte"/>
              <w:spacing w:after="0" w:line="240" w:lineRule="auto"/>
              <w:jc w:val="left"/>
              <w:rPr>
                <w:rFonts w:ascii="Aptos" w:hAnsi="Aptos" w:cs="Segoe UI"/>
                <w:i/>
                <w:iCs/>
                <w:sz w:val="18"/>
                <w:szCs w:val="14"/>
                <w:lang w:val="en-US"/>
              </w:rPr>
            </w:pPr>
            <w:r w:rsidRPr="00F97146">
              <w:rPr>
                <w:rFonts w:ascii="Aptos" w:hAnsi="Aptos" w:cs="Segoe UI"/>
                <w:i/>
                <w:iCs/>
                <w:sz w:val="18"/>
                <w:szCs w:val="14"/>
              </w:rPr>
              <w:t xml:space="preserve">“3.3 Notified bodies shall periodically carry out appropriate audits and assessments to make sure that the manufacturer in question applies the approved quality management system and the post-market surveillance plan. Those audits and assessments shall include audits on the premises of the manufacturer and, if appropriate, of the manufacturer's suppliers and/or subcontractors. On justified grounds, the audit may be conducted </w:t>
            </w:r>
            <w:r w:rsidRPr="00F97146">
              <w:rPr>
                <w:rFonts w:ascii="Aptos" w:hAnsi="Aptos" w:cs="Segoe UI"/>
                <w:b/>
                <w:bCs/>
                <w:i/>
                <w:iCs/>
                <w:sz w:val="18"/>
                <w:szCs w:val="14"/>
              </w:rPr>
              <w:t>hybrid or</w:t>
            </w:r>
            <w:r w:rsidRPr="00F97146">
              <w:rPr>
                <w:rFonts w:ascii="Aptos" w:hAnsi="Aptos" w:cs="Segoe UI"/>
                <w:i/>
                <w:iCs/>
                <w:sz w:val="18"/>
                <w:szCs w:val="14"/>
              </w:rPr>
              <w:t xml:space="preserve"> remotely instead of on-site. The notified body shall, where necessary, carry out or ask for tests in order to check that the quality management system is working properly. It shall provide the manufacturer with a </w:t>
            </w:r>
            <w:r w:rsidRPr="00F97146">
              <w:rPr>
                <w:rFonts w:ascii="Aptos" w:hAnsi="Aptos" w:cs="Segoe UI"/>
                <w:i/>
                <w:iCs/>
                <w:sz w:val="18"/>
                <w:szCs w:val="14"/>
                <w:lang w:val="en-US"/>
              </w:rPr>
              <w:t>surveillance audit report and, if a test has been carried out, with a test report.</w:t>
            </w:r>
          </w:p>
          <w:p w14:paraId="3D823F53" w14:textId="77777777" w:rsidR="00F26E61" w:rsidRPr="00F97146" w:rsidRDefault="00F26E61" w:rsidP="00407A8E">
            <w:pPr>
              <w:pStyle w:val="Corpsdetexte"/>
              <w:spacing w:after="0" w:line="240" w:lineRule="auto"/>
              <w:rPr>
                <w:rFonts w:ascii="Aptos" w:hAnsi="Aptos" w:cs="Segoe UI"/>
                <w:sz w:val="18"/>
                <w:szCs w:val="14"/>
                <w:lang w:val="en-US"/>
              </w:rPr>
            </w:pPr>
          </w:p>
          <w:p w14:paraId="48C42D37" w14:textId="77777777" w:rsidR="00F26E61" w:rsidRPr="00F97146" w:rsidRDefault="00F26E61" w:rsidP="00407A8E">
            <w:pPr>
              <w:pStyle w:val="Corpsdetexte"/>
              <w:spacing w:after="0" w:line="240" w:lineRule="auto"/>
              <w:jc w:val="left"/>
              <w:rPr>
                <w:rFonts w:ascii="Aptos" w:hAnsi="Aptos" w:cs="Segoe UI"/>
                <w:b/>
                <w:bCs/>
                <w:i/>
                <w:iCs/>
                <w:sz w:val="18"/>
                <w:szCs w:val="14"/>
                <w:lang w:val="en-US"/>
              </w:rPr>
            </w:pPr>
            <w:r w:rsidRPr="00F97146">
              <w:rPr>
                <w:rFonts w:ascii="Aptos" w:hAnsi="Aptos" w:cs="Segoe UI"/>
                <w:i/>
                <w:iCs/>
                <w:sz w:val="18"/>
                <w:szCs w:val="14"/>
              </w:rPr>
              <w:t xml:space="preserve">The notified body shall carry out the surveillance audits and assessments every 12 months. </w:t>
            </w:r>
            <w:r w:rsidRPr="00F97146">
              <w:rPr>
                <w:rFonts w:ascii="Aptos" w:hAnsi="Aptos" w:cs="Segoe UI"/>
                <w:b/>
                <w:bCs/>
                <w:i/>
                <w:iCs/>
                <w:sz w:val="18"/>
                <w:szCs w:val="14"/>
                <w:lang w:val="en-US" w:bidi="de-DE"/>
              </w:rPr>
              <w:t>The first surveillance audit should be scheduled 12 months after the certification decision date. This is the so called “due date” (e.g. December) which defines the target dates for all upcoming regular surveillance audits (e.g. each December). In order to take in consideration, the necessity for contingent scheduling adjustments, surveillance audits can be conducted within a limited window of +/- three months from the due date without particular concern. However, if the surveillance audits are conducted outside this time window (earlier or later) this should be exceptional and must be justified and documented in consideration of the possible impact on the certificate's validity. A cumulation of deviations over the years, e.g. changing the due date is not allowed</w:t>
            </w:r>
            <w:r w:rsidRPr="00F97146">
              <w:rPr>
                <w:rFonts w:ascii="Aptos" w:hAnsi="Aptos" w:cs="Segoe UI"/>
                <w:b/>
                <w:bCs/>
                <w:i/>
                <w:iCs/>
                <w:sz w:val="18"/>
                <w:szCs w:val="14"/>
                <w:lang w:val="en-US"/>
              </w:rPr>
              <w:t>.”</w:t>
            </w:r>
          </w:p>
          <w:p w14:paraId="29077D8F" w14:textId="77777777" w:rsidR="00F26E61" w:rsidRPr="00F97146" w:rsidRDefault="00F26E61" w:rsidP="00407A8E">
            <w:pPr>
              <w:pStyle w:val="Corpsdetexte"/>
              <w:spacing w:after="0" w:line="240" w:lineRule="auto"/>
              <w:jc w:val="left"/>
              <w:rPr>
                <w:rFonts w:ascii="Aptos" w:hAnsi="Aptos" w:cs="Segoe UI"/>
                <w:b/>
                <w:bCs/>
                <w:i/>
                <w:iCs/>
                <w:sz w:val="18"/>
                <w:szCs w:val="14"/>
                <w:lang w:val="en-US"/>
              </w:rPr>
            </w:pPr>
          </w:p>
          <w:p w14:paraId="1F68A3FA" w14:textId="77777777" w:rsidR="00F26E61" w:rsidRPr="00F97146" w:rsidRDefault="00F26E61" w:rsidP="00407A8E">
            <w:pPr>
              <w:pStyle w:val="Corpsdetexte"/>
              <w:spacing w:after="0" w:line="240" w:lineRule="auto"/>
              <w:jc w:val="left"/>
              <w:rPr>
                <w:rFonts w:ascii="Aptos" w:hAnsi="Aptos" w:cs="Segoe UI"/>
                <w:sz w:val="18"/>
                <w:szCs w:val="14"/>
                <w:lang w:val="en-US"/>
              </w:rPr>
            </w:pPr>
            <w:r w:rsidRPr="00F97146">
              <w:rPr>
                <w:rFonts w:ascii="Aptos" w:hAnsi="Aptos" w:cs="Segoe UI"/>
                <w:b/>
                <w:bCs/>
                <w:sz w:val="18"/>
                <w:szCs w:val="14"/>
                <w:lang w:val="en-US"/>
              </w:rPr>
              <w:t>IVDR</w:t>
            </w:r>
          </w:p>
          <w:p w14:paraId="0C677D2C" w14:textId="77777777" w:rsidR="00F26E61" w:rsidRPr="00F97146" w:rsidRDefault="00F26E61" w:rsidP="00407A8E">
            <w:pPr>
              <w:pStyle w:val="Corpsdetexte"/>
              <w:rPr>
                <w:rFonts w:ascii="Aptos" w:hAnsi="Aptos" w:cs="Segoe UI"/>
                <w:sz w:val="18"/>
                <w:szCs w:val="14"/>
              </w:rPr>
            </w:pPr>
            <w:r w:rsidRPr="00F97146">
              <w:rPr>
                <w:rFonts w:ascii="Aptos" w:hAnsi="Aptos" w:cs="Segoe UI"/>
                <w:sz w:val="18"/>
                <w:szCs w:val="14"/>
              </w:rPr>
              <w:t xml:space="preserve">The current sampling mechanism should be maintained. However, it is acknowledged that the sampling ratio between class B and </w:t>
            </w:r>
            <w:r w:rsidRPr="00F97146">
              <w:rPr>
                <w:rFonts w:ascii="Aptos" w:hAnsi="Aptos" w:cs="Segoe UI"/>
                <w:sz w:val="18"/>
                <w:szCs w:val="14"/>
              </w:rPr>
              <w:lastRenderedPageBreak/>
              <w:t>class C devices is not risk</w:t>
            </w:r>
            <w:r w:rsidRPr="00F97146">
              <w:rPr>
                <w:rFonts w:ascii="Aptos" w:hAnsi="Aptos" w:cs="Segoe UI"/>
                <w:sz w:val="18"/>
                <w:szCs w:val="14"/>
              </w:rPr>
              <w:noBreakHyphen/>
              <w:t>based and may result in a higher number of class B devices being sampled than class C devices.</w:t>
            </w:r>
          </w:p>
          <w:p w14:paraId="7939C22B" w14:textId="77777777" w:rsidR="00F26E61" w:rsidRPr="00F97146" w:rsidRDefault="00F26E61" w:rsidP="00407A8E">
            <w:pPr>
              <w:pStyle w:val="Corpsdetexte"/>
              <w:spacing w:after="0" w:line="240" w:lineRule="auto"/>
              <w:rPr>
                <w:rFonts w:ascii="Aptos" w:hAnsi="Aptos" w:cs="Segoe UI"/>
                <w:sz w:val="18"/>
                <w:szCs w:val="14"/>
              </w:rPr>
            </w:pPr>
            <w:r w:rsidRPr="00F97146">
              <w:rPr>
                <w:rFonts w:ascii="Aptos" w:hAnsi="Aptos" w:cs="Segoe UI"/>
                <w:b/>
                <w:bCs/>
                <w:iCs/>
                <w:sz w:val="18"/>
                <w:szCs w:val="14"/>
              </w:rPr>
              <w:t>Proposed solution:</w:t>
            </w:r>
            <w:r w:rsidRPr="00F97146">
              <w:rPr>
                <w:rFonts w:ascii="Aptos" w:hAnsi="Aptos" w:cs="Segoe UI"/>
                <w:iCs/>
                <w:sz w:val="18"/>
                <w:szCs w:val="14"/>
              </w:rPr>
              <w:t xml:space="preserve"> introduce a simplified NB coding system to reduce the number of IVR codes and, consequently, the number of device categories.</w:t>
            </w:r>
          </w:p>
          <w:p w14:paraId="37DAECE0" w14:textId="77777777" w:rsidR="00F26E61" w:rsidRPr="00F97146" w:rsidRDefault="00F26E61" w:rsidP="00407A8E">
            <w:pPr>
              <w:pStyle w:val="Corpsdetexte"/>
              <w:spacing w:after="0" w:line="240" w:lineRule="auto"/>
              <w:rPr>
                <w:rFonts w:ascii="Aptos" w:hAnsi="Aptos" w:cs="Segoe UI"/>
                <w:sz w:val="18"/>
                <w:szCs w:val="14"/>
              </w:rPr>
            </w:pPr>
          </w:p>
          <w:p w14:paraId="64BE0D96" w14:textId="77777777" w:rsidR="00F26E61" w:rsidRPr="00F97146" w:rsidRDefault="00F26E61" w:rsidP="00407A8E">
            <w:pPr>
              <w:pStyle w:val="ISOChange"/>
              <w:spacing w:before="60" w:line="240" w:lineRule="auto"/>
              <w:rPr>
                <w:rFonts w:ascii="Aptos" w:hAnsi="Aptos" w:cs="Segoe UI"/>
                <w:sz w:val="18"/>
                <w:szCs w:val="14"/>
              </w:rPr>
            </w:pPr>
          </w:p>
        </w:tc>
      </w:tr>
      <w:tr w:rsidR="00F26E61" w:rsidRPr="00F97146" w14:paraId="3012F249" w14:textId="77777777" w:rsidTr="0022597C">
        <w:trPr>
          <w:trHeight w:val="324"/>
        </w:trPr>
        <w:tc>
          <w:tcPr>
            <w:tcW w:w="568" w:type="dxa"/>
          </w:tcPr>
          <w:p w14:paraId="550C7B73" w14:textId="77777777" w:rsidR="00F26E61" w:rsidRPr="00F97146" w:rsidRDefault="00F26E61" w:rsidP="00407A8E">
            <w:pPr>
              <w:spacing w:line="276" w:lineRule="auto"/>
              <w:ind w:left="-48" w:firstLine="6"/>
              <w:jc w:val="center"/>
              <w:rPr>
                <w:rFonts w:cs="Segoe UI"/>
                <w:iCs w:val="0"/>
                <w:sz w:val="18"/>
                <w:szCs w:val="14"/>
                <w:lang w:val="en-US"/>
              </w:rPr>
            </w:pPr>
            <w:r w:rsidRPr="00F97146">
              <w:rPr>
                <w:rFonts w:cs="Segoe UI"/>
                <w:iCs w:val="0"/>
                <w:sz w:val="18"/>
                <w:szCs w:val="14"/>
                <w:lang w:val="en-US"/>
              </w:rPr>
              <w:lastRenderedPageBreak/>
              <w:t>58</w:t>
            </w:r>
          </w:p>
        </w:tc>
        <w:tc>
          <w:tcPr>
            <w:tcW w:w="1132" w:type="dxa"/>
            <w:tcBorders>
              <w:top w:val="single" w:sz="4" w:space="0" w:color="auto"/>
              <w:left w:val="single" w:sz="4" w:space="0" w:color="auto"/>
              <w:bottom w:val="single" w:sz="4" w:space="0" w:color="auto"/>
              <w:right w:val="single" w:sz="4" w:space="0" w:color="auto"/>
            </w:tcBorders>
          </w:tcPr>
          <w:p w14:paraId="5AE8D254" w14:textId="77777777" w:rsidR="00F26E61" w:rsidRPr="00F97146" w:rsidRDefault="00F26E61" w:rsidP="00407A8E">
            <w:pPr>
              <w:spacing w:line="276" w:lineRule="auto"/>
              <w:ind w:left="-48" w:firstLine="6"/>
              <w:jc w:val="center"/>
              <w:rPr>
                <w:rFonts w:cs="Segoe UI"/>
                <w:iCs w:val="0"/>
                <w:sz w:val="18"/>
                <w:szCs w:val="14"/>
                <w:lang w:val="en-US"/>
              </w:rPr>
            </w:pPr>
            <w:r w:rsidRPr="00F97146">
              <w:rPr>
                <w:rFonts w:cs="Segoe UI"/>
                <w:iCs w:val="0"/>
                <w:sz w:val="18"/>
                <w:szCs w:val="14"/>
                <w:lang w:val="en-US"/>
              </w:rPr>
              <w:t>14, 37</w:t>
            </w:r>
          </w:p>
        </w:tc>
        <w:tc>
          <w:tcPr>
            <w:tcW w:w="1106" w:type="dxa"/>
            <w:tcBorders>
              <w:top w:val="single" w:sz="4" w:space="0" w:color="auto"/>
              <w:left w:val="single" w:sz="4" w:space="0" w:color="auto"/>
              <w:bottom w:val="single" w:sz="4" w:space="0" w:color="auto"/>
              <w:right w:val="single" w:sz="4" w:space="0" w:color="auto"/>
            </w:tcBorders>
          </w:tcPr>
          <w:p w14:paraId="30D9BB68" w14:textId="77777777" w:rsidR="00F26E61" w:rsidRPr="00F97146" w:rsidRDefault="00F26E61" w:rsidP="00407A8E">
            <w:pPr>
              <w:spacing w:line="276" w:lineRule="auto"/>
              <w:ind w:left="75"/>
              <w:jc w:val="center"/>
              <w:rPr>
                <w:rFonts w:cs="Segoe UI"/>
                <w:iCs w:val="0"/>
                <w:sz w:val="18"/>
                <w:szCs w:val="14"/>
                <w:lang w:val="en-US"/>
              </w:rPr>
            </w:pPr>
            <w:r w:rsidRPr="00F97146">
              <w:rPr>
                <w:rFonts w:cs="Segoe UI"/>
                <w:iCs w:val="0"/>
                <w:sz w:val="18"/>
                <w:szCs w:val="14"/>
                <w:lang w:val="en-US"/>
              </w:rPr>
              <w:t>MDR: Ann I IVDR: Ann II</w:t>
            </w:r>
          </w:p>
        </w:tc>
        <w:tc>
          <w:tcPr>
            <w:tcW w:w="1148" w:type="dxa"/>
            <w:tcBorders>
              <w:top w:val="single" w:sz="4" w:space="0" w:color="auto"/>
              <w:left w:val="single" w:sz="4" w:space="0" w:color="auto"/>
              <w:bottom w:val="single" w:sz="4" w:space="0" w:color="auto"/>
              <w:right w:val="single" w:sz="4" w:space="0" w:color="auto"/>
            </w:tcBorders>
          </w:tcPr>
          <w:p w14:paraId="2BF744EC" w14:textId="77777777" w:rsidR="00F26E61" w:rsidRPr="00F97146" w:rsidRDefault="00F26E61" w:rsidP="00407A8E">
            <w:pPr>
              <w:spacing w:before="60"/>
              <w:jc w:val="center"/>
              <w:rPr>
                <w:rFonts w:cs="Segoe UI"/>
                <w:iCs w:val="0"/>
                <w:sz w:val="18"/>
                <w:szCs w:val="14"/>
              </w:rPr>
            </w:pPr>
            <w:r w:rsidRPr="00F97146">
              <w:rPr>
                <w:rFonts w:cs="Segoe UI"/>
                <w:iCs w:val="0"/>
                <w:sz w:val="18"/>
                <w:szCs w:val="14"/>
              </w:rPr>
              <w:t>7</w:t>
            </w:r>
          </w:p>
        </w:tc>
        <w:tc>
          <w:tcPr>
            <w:tcW w:w="1150" w:type="dxa"/>
            <w:tcBorders>
              <w:top w:val="single" w:sz="4" w:space="0" w:color="auto"/>
              <w:left w:val="single" w:sz="4" w:space="0" w:color="auto"/>
              <w:bottom w:val="single" w:sz="4" w:space="0" w:color="auto"/>
              <w:right w:val="single" w:sz="4" w:space="0" w:color="auto"/>
            </w:tcBorders>
          </w:tcPr>
          <w:p w14:paraId="481BD7CB" w14:textId="77777777" w:rsidR="00F26E61" w:rsidRPr="00F97146" w:rsidRDefault="00F26E61" w:rsidP="00407A8E">
            <w:pPr>
              <w:pStyle w:val="ISOParagraph"/>
              <w:spacing w:before="60" w:line="240" w:lineRule="auto"/>
              <w:jc w:val="center"/>
              <w:rPr>
                <w:rFonts w:ascii="Aptos" w:hAnsi="Aptos" w:cs="Segoe UI"/>
                <w:sz w:val="18"/>
                <w:szCs w:val="14"/>
                <w:lang w:val="en-US"/>
              </w:rPr>
            </w:pPr>
            <w:r w:rsidRPr="00F97146">
              <w:rPr>
                <w:rFonts w:ascii="Aptos" w:hAnsi="Aptos" w:cs="Segoe UI"/>
                <w:sz w:val="18"/>
                <w:szCs w:val="14"/>
                <w:lang w:val="en-US"/>
              </w:rPr>
              <w:t>d</w:t>
            </w:r>
          </w:p>
        </w:tc>
        <w:tc>
          <w:tcPr>
            <w:tcW w:w="4813" w:type="dxa"/>
            <w:tcBorders>
              <w:top w:val="single" w:sz="4" w:space="0" w:color="auto"/>
              <w:left w:val="single" w:sz="4" w:space="0" w:color="auto"/>
              <w:bottom w:val="single" w:sz="4" w:space="0" w:color="auto"/>
              <w:right w:val="single" w:sz="4" w:space="0" w:color="auto"/>
            </w:tcBorders>
          </w:tcPr>
          <w:p w14:paraId="6F325A37" w14:textId="77777777" w:rsidR="00F26E61" w:rsidRPr="00F97146" w:rsidRDefault="00F26E61" w:rsidP="00407A8E">
            <w:pPr>
              <w:pStyle w:val="ISOChange"/>
              <w:spacing w:before="60"/>
              <w:rPr>
                <w:rFonts w:ascii="Aptos" w:hAnsi="Aptos" w:cs="Segoe UI"/>
                <w:sz w:val="18"/>
                <w:szCs w:val="14"/>
                <w:lang w:val="en-US"/>
              </w:rPr>
            </w:pPr>
            <w:r w:rsidRPr="00F97146">
              <w:rPr>
                <w:rFonts w:ascii="Aptos" w:hAnsi="Aptos" w:cs="Segoe UI"/>
                <w:sz w:val="18"/>
                <w:szCs w:val="14"/>
                <w:lang w:val="en-US"/>
              </w:rPr>
              <w:t xml:space="preserve">Unannounced audits </w:t>
            </w:r>
            <w:r w:rsidRPr="00F97146">
              <w:rPr>
                <w:rFonts w:ascii="Aptos" w:hAnsi="Aptos" w:cs="Segoe UI"/>
                <w:sz w:val="18"/>
                <w:szCs w:val="14"/>
              </w:rPr>
              <w:t xml:space="preserve">(at least once every five years) </w:t>
            </w:r>
            <w:r w:rsidRPr="00F97146">
              <w:rPr>
                <w:rFonts w:ascii="Aptos" w:hAnsi="Aptos" w:cs="Segoe UI"/>
                <w:sz w:val="18"/>
                <w:szCs w:val="14"/>
                <w:lang w:val="en-US"/>
              </w:rPr>
              <w:t>were introduced in 2013 with the Recommendation 2013/473/EU and later incorporated into the MDR and IVDR as a key tool to detect noncompliance and ensure that manufacturers continuously comply with their quality management systems. It is not in the interest of patient safety to reduce this not only corrective but preventive monitoring measure to such an extent that the requirements fall back to the level that existed before various legislative measures were introduced as a result of problems with manufacturers and products.</w:t>
            </w:r>
          </w:p>
          <w:p w14:paraId="79BBD727" w14:textId="77777777" w:rsidR="00F26E61" w:rsidRPr="00F97146" w:rsidRDefault="00F26E61" w:rsidP="00407A8E">
            <w:pPr>
              <w:pStyle w:val="ISOChange"/>
              <w:rPr>
                <w:rFonts w:ascii="Aptos" w:hAnsi="Aptos" w:cs="Segoe UI"/>
                <w:sz w:val="18"/>
                <w:szCs w:val="14"/>
                <w:lang w:val="en-US"/>
              </w:rPr>
            </w:pPr>
            <w:r w:rsidRPr="00F97146">
              <w:rPr>
                <w:rFonts w:ascii="Aptos" w:hAnsi="Aptos" w:cs="Segoe UI"/>
                <w:sz w:val="18"/>
                <w:szCs w:val="14"/>
                <w:lang w:val="en-US"/>
              </w:rPr>
              <w:t>We would like to understand better if the reduction of that measure is based on data only under MDR/IVDR certifications (manufacturers complying towards already tightened MDR/IVDR certifications – early adopters) or is it already taking into account all manufacturers and devices which, according to the proposal will not undergo any scrutiny by a third party?</w:t>
            </w:r>
          </w:p>
          <w:p w14:paraId="3639F804" w14:textId="77777777" w:rsidR="00F26E61" w:rsidRPr="00F97146" w:rsidRDefault="00F26E61" w:rsidP="00407A8E">
            <w:pPr>
              <w:pStyle w:val="ISOChange"/>
              <w:spacing w:before="0" w:line="240" w:lineRule="auto"/>
              <w:rPr>
                <w:rFonts w:ascii="Aptos" w:hAnsi="Aptos" w:cs="Segoe UI"/>
                <w:sz w:val="18"/>
                <w:szCs w:val="14"/>
                <w:lang w:val="en-US"/>
              </w:rPr>
            </w:pPr>
            <w:r w:rsidRPr="00F97146">
              <w:rPr>
                <w:rFonts w:ascii="Aptos" w:hAnsi="Aptos" w:cs="Segoe UI"/>
                <w:sz w:val="18"/>
                <w:szCs w:val="14"/>
                <w:lang w:val="en-US"/>
              </w:rPr>
              <w:t>Unannounced audits should continue to be carried out regularly on a mandatory basis.</w:t>
            </w:r>
          </w:p>
          <w:p w14:paraId="68EC8D3D" w14:textId="77777777" w:rsidR="00F26E61" w:rsidRPr="00F97146" w:rsidRDefault="00F26E61" w:rsidP="00407A8E">
            <w:pPr>
              <w:pStyle w:val="ISOChange"/>
              <w:spacing w:line="240" w:lineRule="auto"/>
              <w:rPr>
                <w:rFonts w:ascii="Aptos" w:hAnsi="Aptos" w:cs="Segoe UI"/>
                <w:sz w:val="18"/>
                <w:szCs w:val="14"/>
              </w:rPr>
            </w:pPr>
            <w:r w:rsidRPr="00F97146">
              <w:rPr>
                <w:rFonts w:ascii="Aptos" w:hAnsi="Aptos" w:cs="Segoe UI"/>
                <w:sz w:val="18"/>
                <w:szCs w:val="14"/>
              </w:rPr>
              <w:t>Please see a real-life examples below that demonstrate the risks that are associated with this change:</w:t>
            </w:r>
          </w:p>
          <w:p w14:paraId="55F34A8E" w14:textId="77777777" w:rsidR="00F26E61" w:rsidRPr="00F97146" w:rsidRDefault="00F26E61" w:rsidP="00F26E61">
            <w:pPr>
              <w:pStyle w:val="ISOChange"/>
              <w:numPr>
                <w:ilvl w:val="0"/>
                <w:numId w:val="94"/>
              </w:numPr>
              <w:spacing w:before="60"/>
              <w:rPr>
                <w:rFonts w:ascii="Aptos" w:hAnsi="Aptos" w:cs="Segoe UI"/>
                <w:sz w:val="18"/>
                <w:szCs w:val="14"/>
                <w:lang w:val="en-US"/>
              </w:rPr>
            </w:pPr>
            <w:r w:rsidRPr="00F97146">
              <w:rPr>
                <w:rFonts w:ascii="Aptos" w:hAnsi="Aptos" w:cs="Segoe UI"/>
                <w:sz w:val="18"/>
                <w:szCs w:val="14"/>
                <w:lang w:val="en-US"/>
              </w:rPr>
              <w:t xml:space="preserve">The audit of a manufacturer of sterile products revealed that the manufacturer had not systematically validated all relevant processes. As a result, they could not demonstrate that their products were reliably sterile. During an unannounced audit, additional sterile products were found in storage that had been produced by the manufacturer, carried a CE mark, and were intended for sale — yet these products were not even part of the certified product scope. This situation represents a significant risk, as no evidence existed to confirm the effectiveness of the </w:t>
            </w:r>
            <w:r w:rsidRPr="00F97146">
              <w:rPr>
                <w:rFonts w:ascii="Aptos" w:hAnsi="Aptos" w:cs="Segoe UI"/>
                <w:sz w:val="18"/>
                <w:szCs w:val="14"/>
                <w:lang w:val="en-US"/>
              </w:rPr>
              <w:lastRenderedPageBreak/>
              <w:t>sterilization process for these noncertified products.</w:t>
            </w:r>
          </w:p>
          <w:p w14:paraId="71800AEA" w14:textId="77777777" w:rsidR="00F26E61" w:rsidRPr="00F97146" w:rsidRDefault="00F26E61" w:rsidP="00F26E61">
            <w:pPr>
              <w:pStyle w:val="ISOChange"/>
              <w:numPr>
                <w:ilvl w:val="0"/>
                <w:numId w:val="94"/>
              </w:numPr>
              <w:spacing w:before="60"/>
              <w:rPr>
                <w:rFonts w:ascii="Aptos" w:hAnsi="Aptos" w:cs="Segoe UI"/>
                <w:sz w:val="18"/>
                <w:szCs w:val="14"/>
                <w:lang w:val="en-US"/>
              </w:rPr>
            </w:pPr>
            <w:r w:rsidRPr="00F97146">
              <w:rPr>
                <w:rFonts w:ascii="Aptos" w:hAnsi="Aptos" w:cs="Segoe UI"/>
                <w:sz w:val="18"/>
                <w:szCs w:val="14"/>
              </w:rPr>
              <w:t xml:space="preserve">During unannounced audits and conducted pen-testing of software related devices, the </w:t>
            </w:r>
            <w:r w:rsidRPr="00F97146">
              <w:rPr>
                <w:rFonts w:ascii="Aptos" w:hAnsi="Aptos" w:cs="Segoe UI"/>
                <w:sz w:val="18"/>
                <w:szCs w:val="14"/>
                <w:lang w:val="en-US"/>
              </w:rPr>
              <w:t>NBs experienced that the majority of the devices lack appropriate measure for cybersecurity. While the majority of tested devices were found to have at least medium severity vulnerabilities, about 30% of vulnerabilities are found to have potentially critical or high impact on patient health - either directly or indirectly. Only a few vulnerabilities do not have impact on patient safety.</w:t>
            </w:r>
          </w:p>
          <w:p w14:paraId="582FB156" w14:textId="77777777" w:rsidR="00F26E61" w:rsidRPr="00F97146" w:rsidRDefault="00F26E61" w:rsidP="00407A8E">
            <w:pPr>
              <w:pStyle w:val="ISOChange"/>
              <w:spacing w:before="60"/>
              <w:ind w:left="720"/>
              <w:rPr>
                <w:rFonts w:ascii="Aptos" w:hAnsi="Aptos" w:cs="Segoe UI"/>
                <w:sz w:val="18"/>
                <w:szCs w:val="14"/>
                <w:lang w:val="en-US"/>
              </w:rPr>
            </w:pPr>
            <w:r w:rsidRPr="00F97146">
              <w:rPr>
                <w:rFonts w:ascii="Aptos" w:hAnsi="Aptos" w:cs="Segoe UI"/>
                <w:sz w:val="18"/>
                <w:szCs w:val="14"/>
                <w:lang w:val="en-US"/>
              </w:rPr>
              <w:t>Common vulnerabilities: Inadequate protection against unauthorized access, unencrypted PHI data, API vulnerabilities, data deletion risks</w:t>
            </w:r>
          </w:p>
          <w:p w14:paraId="38B313AC" w14:textId="77777777" w:rsidR="00F26E61" w:rsidRPr="00F97146" w:rsidRDefault="00F26E61" w:rsidP="00407A8E">
            <w:pPr>
              <w:pStyle w:val="ISOChange"/>
              <w:spacing w:before="60"/>
              <w:ind w:left="720"/>
              <w:rPr>
                <w:rFonts w:ascii="Aptos" w:hAnsi="Aptos" w:cs="Segoe UI"/>
                <w:sz w:val="18"/>
                <w:szCs w:val="14"/>
                <w:lang w:val="en-US"/>
              </w:rPr>
            </w:pPr>
            <w:r w:rsidRPr="00F97146">
              <w:rPr>
                <w:rFonts w:ascii="Aptos" w:hAnsi="Aptos" w:cs="Segoe UI"/>
                <w:sz w:val="18"/>
                <w:szCs w:val="14"/>
                <w:lang w:val="en-US"/>
              </w:rPr>
              <w:t>These vulnerabilities were uncovered through basic testing techniques, suggesting that more thorough and in-depth assessments could reveal even more critical issues.</w:t>
            </w:r>
          </w:p>
          <w:p w14:paraId="490688BF" w14:textId="77777777" w:rsidR="00F26E61" w:rsidRDefault="00F26E61" w:rsidP="00407A8E">
            <w:pPr>
              <w:pStyle w:val="ISOChange"/>
              <w:spacing w:before="60"/>
              <w:ind w:left="720"/>
              <w:rPr>
                <w:rFonts w:ascii="Aptos" w:hAnsi="Aptos" w:cs="Segoe UI"/>
                <w:iCs/>
                <w:sz w:val="18"/>
                <w:szCs w:val="14"/>
                <w:lang w:val="en-US"/>
              </w:rPr>
            </w:pPr>
            <w:r w:rsidRPr="00F97146">
              <w:rPr>
                <w:rFonts w:ascii="Aptos" w:hAnsi="Aptos" w:cs="Segoe UI"/>
                <w:iCs/>
                <w:sz w:val="18"/>
                <w:szCs w:val="14"/>
                <w:lang w:val="en-US"/>
              </w:rPr>
              <w:t>Example: Testers were able to modify all hospital patients' medications using a guest account in the web application</w:t>
            </w:r>
          </w:p>
          <w:p w14:paraId="1AB8EA5F" w14:textId="77777777" w:rsidR="00F26E61" w:rsidRDefault="00F26E61" w:rsidP="00407A8E">
            <w:pPr>
              <w:pStyle w:val="ISOChange"/>
              <w:spacing w:before="60"/>
              <w:rPr>
                <w:rFonts w:ascii="Aptos" w:hAnsi="Aptos" w:cs="Segoe UI"/>
                <w:b/>
                <w:bCs/>
                <w:iCs/>
                <w:sz w:val="18"/>
                <w:szCs w:val="14"/>
                <w:lang w:val="en-US"/>
              </w:rPr>
            </w:pPr>
            <w:r w:rsidRPr="005B0BE5">
              <w:rPr>
                <w:rFonts w:ascii="Aptos" w:hAnsi="Aptos" w:cs="Segoe UI"/>
                <w:b/>
                <w:bCs/>
                <w:iCs/>
                <w:sz w:val="18"/>
                <w:szCs w:val="14"/>
                <w:lang w:val="en-US"/>
              </w:rPr>
              <w:t xml:space="preserve">Final note: </w:t>
            </w:r>
          </w:p>
          <w:p w14:paraId="4303EFF7" w14:textId="77777777" w:rsidR="00F26E61" w:rsidRPr="00D07D1F" w:rsidRDefault="00F26E61" w:rsidP="00407A8E">
            <w:pPr>
              <w:pStyle w:val="ISOChange"/>
              <w:spacing w:before="60"/>
              <w:rPr>
                <w:rFonts w:ascii="Aptos" w:hAnsi="Aptos" w:cs="Segoe UI"/>
                <w:sz w:val="18"/>
                <w:szCs w:val="14"/>
              </w:rPr>
            </w:pPr>
            <w:r w:rsidRPr="00D07D1F">
              <w:rPr>
                <w:rFonts w:ascii="Aptos" w:hAnsi="Aptos" w:cs="Segoe UI"/>
                <w:sz w:val="18"/>
                <w:szCs w:val="14"/>
              </w:rPr>
              <w:t>Unannounced audits are particularly important where other systematic controls (e.g. routine technical documentation sampling or standalone PSUR review) are reduced, as they provide an independent preventive detection mechanism</w:t>
            </w:r>
            <w:r>
              <w:rPr>
                <w:rFonts w:ascii="Aptos" w:hAnsi="Aptos" w:cs="Segoe UI"/>
                <w:sz w:val="18"/>
                <w:szCs w:val="14"/>
              </w:rPr>
              <w:t>.</w:t>
            </w:r>
          </w:p>
        </w:tc>
        <w:tc>
          <w:tcPr>
            <w:tcW w:w="5251" w:type="dxa"/>
            <w:tcBorders>
              <w:top w:val="single" w:sz="4" w:space="0" w:color="auto"/>
              <w:left w:val="single" w:sz="4" w:space="0" w:color="auto"/>
              <w:bottom w:val="single" w:sz="4" w:space="0" w:color="auto"/>
              <w:right w:val="single" w:sz="4" w:space="0" w:color="auto"/>
            </w:tcBorders>
          </w:tcPr>
          <w:p w14:paraId="0919AC14" w14:textId="77777777" w:rsidR="00F26E61" w:rsidRDefault="00F26E61" w:rsidP="00407A8E">
            <w:pPr>
              <w:rPr>
                <w:rFonts w:cs="Segoe UI"/>
                <w:sz w:val="18"/>
                <w:szCs w:val="14"/>
              </w:rPr>
            </w:pPr>
            <w:r w:rsidRPr="00F97146">
              <w:rPr>
                <w:rFonts w:cs="Segoe UI"/>
                <w:sz w:val="18"/>
                <w:szCs w:val="14"/>
              </w:rPr>
              <w:lastRenderedPageBreak/>
              <w:t>Reinstate existing Annex IX(3.4)</w:t>
            </w:r>
            <w:r>
              <w:rPr>
                <w:rFonts w:cs="Segoe UI"/>
                <w:sz w:val="18"/>
                <w:szCs w:val="14"/>
              </w:rPr>
              <w:t>.</w:t>
            </w:r>
          </w:p>
          <w:p w14:paraId="38EB2A79" w14:textId="77777777" w:rsidR="00F26E61" w:rsidRPr="008D587A" w:rsidRDefault="00F26E61" w:rsidP="00407A8E">
            <w:pPr>
              <w:rPr>
                <w:rFonts w:eastAsia="Calibri" w:cs="Segoe UI"/>
                <w:iCs w:val="0"/>
                <w:sz w:val="18"/>
                <w:szCs w:val="14"/>
              </w:rPr>
            </w:pPr>
            <w:r>
              <w:rPr>
                <w:rFonts w:eastAsia="Calibri" w:cs="Segoe UI"/>
                <w:iCs w:val="0"/>
                <w:sz w:val="18"/>
                <w:szCs w:val="14"/>
              </w:rPr>
              <w:t>Clarify</w:t>
            </w:r>
            <w:r w:rsidRPr="008D587A">
              <w:rPr>
                <w:rFonts w:eastAsia="Calibri" w:cs="Segoe UI"/>
                <w:iCs w:val="0"/>
                <w:sz w:val="18"/>
                <w:szCs w:val="14"/>
              </w:rPr>
              <w:t xml:space="preserve"> that unannounced audits serve as a compensatory safeguard where other oversight activities are reduced.</w:t>
            </w:r>
          </w:p>
          <w:p w14:paraId="30C92811" w14:textId="77777777" w:rsidR="00F26E61" w:rsidRPr="00F97146" w:rsidRDefault="00F26E61" w:rsidP="00407A8E">
            <w:pPr>
              <w:pStyle w:val="Corpsdetexte"/>
              <w:spacing w:after="0" w:line="240" w:lineRule="auto"/>
              <w:rPr>
                <w:rFonts w:ascii="Aptos" w:hAnsi="Aptos" w:cs="Segoe UI"/>
                <w:sz w:val="18"/>
                <w:szCs w:val="14"/>
              </w:rPr>
            </w:pPr>
          </w:p>
        </w:tc>
      </w:tr>
      <w:tr w:rsidR="00F26E61" w:rsidRPr="00F97146" w14:paraId="46820ACB" w14:textId="77777777" w:rsidTr="0022597C">
        <w:trPr>
          <w:trHeight w:val="324"/>
        </w:trPr>
        <w:tc>
          <w:tcPr>
            <w:tcW w:w="568" w:type="dxa"/>
          </w:tcPr>
          <w:p w14:paraId="61E5B9C0" w14:textId="77777777" w:rsidR="00F26E61" w:rsidRPr="00F97146" w:rsidRDefault="00F26E61" w:rsidP="00407A8E">
            <w:pPr>
              <w:spacing w:line="276" w:lineRule="auto"/>
              <w:ind w:left="-48" w:firstLine="6"/>
              <w:jc w:val="center"/>
              <w:rPr>
                <w:rFonts w:eastAsia="Segoe UI" w:cs="Segoe UI"/>
                <w:iCs w:val="0"/>
                <w:sz w:val="18"/>
                <w:szCs w:val="14"/>
              </w:rPr>
            </w:pPr>
            <w:r w:rsidRPr="00F97146">
              <w:rPr>
                <w:rFonts w:eastAsia="Segoe UI" w:cs="Segoe UI"/>
                <w:iCs w:val="0"/>
                <w:sz w:val="18"/>
                <w:szCs w:val="14"/>
              </w:rPr>
              <w:t>59</w:t>
            </w:r>
          </w:p>
        </w:tc>
        <w:tc>
          <w:tcPr>
            <w:tcW w:w="1132" w:type="dxa"/>
            <w:tcBorders>
              <w:top w:val="single" w:sz="4" w:space="0" w:color="auto"/>
              <w:left w:val="single" w:sz="4" w:space="0" w:color="auto"/>
              <w:bottom w:val="single" w:sz="4" w:space="0" w:color="auto"/>
              <w:right w:val="single" w:sz="4" w:space="0" w:color="auto"/>
            </w:tcBorders>
          </w:tcPr>
          <w:p w14:paraId="4513F5C8" w14:textId="77777777" w:rsidR="00F26E61" w:rsidRPr="00F97146" w:rsidDel="00390005" w:rsidRDefault="00F26E61" w:rsidP="00407A8E">
            <w:pPr>
              <w:spacing w:line="276" w:lineRule="auto"/>
              <w:ind w:left="-48" w:firstLine="6"/>
              <w:jc w:val="center"/>
              <w:rPr>
                <w:rFonts w:eastAsia="Segoe UI" w:cs="Segoe UI"/>
                <w:iCs w:val="0"/>
                <w:sz w:val="18"/>
                <w:szCs w:val="14"/>
              </w:rPr>
            </w:pPr>
            <w:r w:rsidRPr="00F97146">
              <w:rPr>
                <w:rFonts w:eastAsia="Segoe UI" w:cs="Segoe UI"/>
                <w:iCs w:val="0"/>
                <w:sz w:val="18"/>
                <w:szCs w:val="14"/>
              </w:rPr>
              <w:t>25</w:t>
            </w:r>
          </w:p>
        </w:tc>
        <w:tc>
          <w:tcPr>
            <w:tcW w:w="1106" w:type="dxa"/>
            <w:tcBorders>
              <w:top w:val="single" w:sz="4" w:space="0" w:color="auto"/>
              <w:left w:val="single" w:sz="4" w:space="0" w:color="auto"/>
              <w:bottom w:val="single" w:sz="4" w:space="0" w:color="auto"/>
              <w:right w:val="single" w:sz="4" w:space="0" w:color="auto"/>
            </w:tcBorders>
          </w:tcPr>
          <w:p w14:paraId="29C8DD3D" w14:textId="77777777" w:rsidR="00F26E61" w:rsidRPr="00F97146" w:rsidDel="002F365C" w:rsidRDefault="00F26E61" w:rsidP="00407A8E">
            <w:pPr>
              <w:spacing w:line="276" w:lineRule="auto"/>
              <w:ind w:left="75"/>
              <w:jc w:val="center"/>
              <w:rPr>
                <w:rFonts w:eastAsia="Segoe UI" w:cs="Segoe UI"/>
                <w:iCs w:val="0"/>
                <w:sz w:val="18"/>
                <w:szCs w:val="14"/>
              </w:rPr>
            </w:pPr>
            <w:r w:rsidRPr="00F97146">
              <w:rPr>
                <w:rFonts w:eastAsia="Segoe UI" w:cs="Segoe UI"/>
                <w:iCs w:val="0"/>
                <w:sz w:val="18"/>
                <w:szCs w:val="14"/>
              </w:rPr>
              <w:t>Ann II</w:t>
            </w:r>
          </w:p>
        </w:tc>
        <w:tc>
          <w:tcPr>
            <w:tcW w:w="1148" w:type="dxa"/>
            <w:tcBorders>
              <w:top w:val="single" w:sz="4" w:space="0" w:color="auto"/>
              <w:left w:val="single" w:sz="4" w:space="0" w:color="auto"/>
              <w:bottom w:val="single" w:sz="4" w:space="0" w:color="auto"/>
              <w:right w:val="single" w:sz="4" w:space="0" w:color="auto"/>
            </w:tcBorders>
          </w:tcPr>
          <w:p w14:paraId="19DC3000" w14:textId="77777777" w:rsidR="00F26E61" w:rsidRPr="00F97146" w:rsidRDefault="00F26E61" w:rsidP="00407A8E">
            <w:pPr>
              <w:spacing w:before="60"/>
              <w:jc w:val="center"/>
              <w:rPr>
                <w:rFonts w:eastAsia="Segoe UI" w:cs="Segoe UI"/>
                <w:iCs w:val="0"/>
                <w:sz w:val="18"/>
                <w:szCs w:val="14"/>
              </w:rPr>
            </w:pPr>
            <w:r w:rsidRPr="00F97146">
              <w:rPr>
                <w:rFonts w:eastAsia="Segoe UI" w:cs="Segoe UI"/>
                <w:iCs w:val="0"/>
                <w:sz w:val="18"/>
                <w:szCs w:val="14"/>
              </w:rPr>
              <w:t>1</w:t>
            </w:r>
          </w:p>
        </w:tc>
        <w:tc>
          <w:tcPr>
            <w:tcW w:w="1150" w:type="dxa"/>
            <w:tcBorders>
              <w:top w:val="single" w:sz="4" w:space="0" w:color="auto"/>
              <w:left w:val="single" w:sz="4" w:space="0" w:color="auto"/>
              <w:bottom w:val="single" w:sz="4" w:space="0" w:color="auto"/>
              <w:right w:val="single" w:sz="4" w:space="0" w:color="auto"/>
            </w:tcBorders>
          </w:tcPr>
          <w:p w14:paraId="2F2A2460" w14:textId="77777777" w:rsidR="00F26E61" w:rsidRPr="00F97146" w:rsidRDefault="00F26E61" w:rsidP="00407A8E">
            <w:pPr>
              <w:jc w:val="center"/>
              <w:rPr>
                <w:rFonts w:eastAsia="Segoe UI" w:cs="Segoe UI"/>
                <w:iCs w:val="0"/>
                <w:sz w:val="18"/>
                <w:szCs w:val="14"/>
              </w:rPr>
            </w:pPr>
            <w:r w:rsidRPr="00F97146">
              <w:rPr>
                <w:rFonts w:eastAsia="Segoe UI" w:cs="Segoe UI"/>
                <w:iCs w:val="0"/>
                <w:sz w:val="18"/>
                <w:szCs w:val="14"/>
              </w:rPr>
              <w:t>b(ii)</w:t>
            </w:r>
          </w:p>
        </w:tc>
        <w:tc>
          <w:tcPr>
            <w:tcW w:w="4813" w:type="dxa"/>
            <w:tcBorders>
              <w:top w:val="single" w:sz="4" w:space="0" w:color="auto"/>
              <w:left w:val="single" w:sz="4" w:space="0" w:color="auto"/>
              <w:bottom w:val="single" w:sz="4" w:space="0" w:color="auto"/>
              <w:right w:val="single" w:sz="4" w:space="0" w:color="auto"/>
            </w:tcBorders>
          </w:tcPr>
          <w:p w14:paraId="7EC24F70" w14:textId="77777777" w:rsidR="00F26E61" w:rsidRPr="00F97146" w:rsidRDefault="00F26E61" w:rsidP="00407A8E">
            <w:pPr>
              <w:spacing w:before="60"/>
              <w:rPr>
                <w:iCs w:val="0"/>
                <w:sz w:val="18"/>
                <w:szCs w:val="14"/>
              </w:rPr>
            </w:pPr>
            <w:r w:rsidRPr="00F97146">
              <w:rPr>
                <w:rFonts w:eastAsia="Segoe UI" w:cs="Segoe UI"/>
                <w:iCs w:val="0"/>
                <w:sz w:val="18"/>
                <w:szCs w:val="14"/>
              </w:rPr>
              <w:t>Commission proposal:</w:t>
            </w:r>
          </w:p>
          <w:p w14:paraId="7F6E7059" w14:textId="77777777" w:rsidR="00F26E61" w:rsidRPr="00F97146" w:rsidRDefault="00F26E61" w:rsidP="00407A8E">
            <w:pPr>
              <w:rPr>
                <w:rFonts w:eastAsia="Segoe UI" w:cs="Segoe UI"/>
                <w:i/>
                <w:sz w:val="18"/>
                <w:szCs w:val="14"/>
              </w:rPr>
            </w:pPr>
            <w:r w:rsidRPr="00F97146">
              <w:rPr>
                <w:rFonts w:eastAsia="Segoe UI" w:cs="Segoe UI"/>
                <w:iCs w:val="0"/>
                <w:sz w:val="18"/>
                <w:szCs w:val="14"/>
              </w:rPr>
              <w:t>“</w:t>
            </w:r>
            <w:r w:rsidRPr="00F97146">
              <w:rPr>
                <w:rFonts w:eastAsia="Segoe UI" w:cs="Segoe UI"/>
                <w:i/>
                <w:sz w:val="18"/>
                <w:szCs w:val="14"/>
              </w:rPr>
              <w:t>Labels may be provided in digital form to the extent, and only under the conditions, set out in implementing rules adopted pursuant to this Regulation.”</w:t>
            </w:r>
          </w:p>
          <w:p w14:paraId="4AD8FF7E" w14:textId="77777777" w:rsidR="00F26E61" w:rsidRPr="00F97146" w:rsidRDefault="00F26E61" w:rsidP="00407A8E">
            <w:pPr>
              <w:rPr>
                <w:iCs w:val="0"/>
                <w:sz w:val="18"/>
                <w:szCs w:val="14"/>
              </w:rPr>
            </w:pPr>
          </w:p>
          <w:p w14:paraId="01CE53AD" w14:textId="77777777" w:rsidR="00F26E61" w:rsidRPr="00F97146" w:rsidRDefault="00F26E61" w:rsidP="00407A8E">
            <w:pPr>
              <w:rPr>
                <w:rFonts w:eastAsia="Segoe UI" w:cs="Segoe UI"/>
                <w:iCs w:val="0"/>
                <w:sz w:val="18"/>
                <w:szCs w:val="14"/>
              </w:rPr>
            </w:pPr>
            <w:r w:rsidRPr="00F97146">
              <w:rPr>
                <w:rFonts w:eastAsia="Segoe UI" w:cs="Segoe UI"/>
                <w:iCs w:val="0"/>
                <w:sz w:val="18"/>
                <w:szCs w:val="14"/>
              </w:rPr>
              <w:lastRenderedPageBreak/>
              <w:t>For labels that include warning symbols and information on the contents of the kit or bottle, relying solely on an electronic IFU would create an unsafe situation. While an electronic IFU may be appropriate for professional use, removing full physical labelling from the product itself would introduce avoidable risks.</w:t>
            </w:r>
          </w:p>
        </w:tc>
        <w:tc>
          <w:tcPr>
            <w:tcW w:w="5251" w:type="dxa"/>
            <w:tcBorders>
              <w:top w:val="single" w:sz="4" w:space="0" w:color="auto"/>
              <w:left w:val="single" w:sz="4" w:space="0" w:color="auto"/>
              <w:bottom w:val="single" w:sz="4" w:space="0" w:color="auto"/>
              <w:right w:val="single" w:sz="4" w:space="0" w:color="auto"/>
            </w:tcBorders>
          </w:tcPr>
          <w:p w14:paraId="636CD196" w14:textId="77777777" w:rsidR="00F26E61" w:rsidRPr="00F97146" w:rsidRDefault="00F26E61" w:rsidP="00407A8E">
            <w:pPr>
              <w:spacing w:before="60"/>
              <w:rPr>
                <w:rFonts w:eastAsia="Segoe UI" w:cs="Segoe UI"/>
                <w:iCs w:val="0"/>
                <w:sz w:val="18"/>
                <w:szCs w:val="14"/>
              </w:rPr>
            </w:pPr>
            <w:r w:rsidRPr="00F97146">
              <w:rPr>
                <w:rFonts w:eastAsia="Segoe UI" w:cs="Segoe UI"/>
                <w:iCs w:val="0"/>
                <w:sz w:val="18"/>
                <w:szCs w:val="14"/>
              </w:rPr>
              <w:lastRenderedPageBreak/>
              <w:t>Delete proposed text.</w:t>
            </w:r>
          </w:p>
          <w:p w14:paraId="60B15B1B" w14:textId="77777777" w:rsidR="00F26E61" w:rsidRPr="00F97146" w:rsidRDefault="00F26E61" w:rsidP="00407A8E">
            <w:pPr>
              <w:spacing w:before="60"/>
              <w:rPr>
                <w:rFonts w:eastAsia="Segoe UI" w:cs="Segoe UI"/>
                <w:iCs w:val="0"/>
                <w:sz w:val="18"/>
                <w:szCs w:val="14"/>
              </w:rPr>
            </w:pPr>
          </w:p>
          <w:p w14:paraId="0F011612" w14:textId="77777777" w:rsidR="00F26E61" w:rsidRPr="00F97146" w:rsidRDefault="00F26E61" w:rsidP="00407A8E">
            <w:pPr>
              <w:spacing w:before="60"/>
              <w:rPr>
                <w:rFonts w:eastAsia="Segoe UI" w:cs="Segoe UI"/>
                <w:b/>
                <w:bCs/>
                <w:iCs w:val="0"/>
                <w:sz w:val="18"/>
                <w:szCs w:val="14"/>
              </w:rPr>
            </w:pPr>
            <w:r w:rsidRPr="00F97146">
              <w:rPr>
                <w:rFonts w:eastAsia="Segoe UI" w:cs="Segoe UI"/>
                <w:b/>
                <w:bCs/>
                <w:iCs w:val="0"/>
                <w:sz w:val="18"/>
                <w:szCs w:val="14"/>
              </w:rPr>
              <w:t>Or</w:t>
            </w:r>
          </w:p>
          <w:p w14:paraId="37B85C4C" w14:textId="77777777" w:rsidR="00F26E61" w:rsidRPr="00F97146" w:rsidRDefault="00F26E61" w:rsidP="00407A8E">
            <w:pPr>
              <w:spacing w:before="60"/>
              <w:rPr>
                <w:rFonts w:eastAsia="Segoe UI" w:cs="Segoe UI"/>
                <w:iCs w:val="0"/>
                <w:sz w:val="18"/>
                <w:szCs w:val="14"/>
              </w:rPr>
            </w:pPr>
            <w:r w:rsidRPr="00F97146">
              <w:rPr>
                <w:rFonts w:eastAsia="Segoe UI" w:cs="Segoe UI"/>
                <w:iCs w:val="0"/>
                <w:sz w:val="18"/>
                <w:szCs w:val="14"/>
              </w:rPr>
              <w:t xml:space="preserve">Proposed Team NB text: </w:t>
            </w:r>
          </w:p>
          <w:p w14:paraId="36B9AC72" w14:textId="77777777" w:rsidR="00F26E61" w:rsidRPr="00F97146" w:rsidRDefault="00F26E61" w:rsidP="00407A8E">
            <w:pPr>
              <w:spacing w:before="60"/>
              <w:rPr>
                <w:iCs w:val="0"/>
                <w:sz w:val="18"/>
                <w:szCs w:val="14"/>
              </w:rPr>
            </w:pPr>
            <w:r w:rsidRPr="00F97146">
              <w:rPr>
                <w:rFonts w:eastAsia="Segoe UI" w:cs="Segoe UI"/>
                <w:iCs w:val="0"/>
                <w:sz w:val="18"/>
                <w:szCs w:val="14"/>
              </w:rPr>
              <w:lastRenderedPageBreak/>
              <w:t>“</w:t>
            </w:r>
            <w:r w:rsidRPr="00F97146">
              <w:rPr>
                <w:rFonts w:eastAsia="Segoe UI" w:cs="Segoe UI"/>
                <w:i/>
                <w:sz w:val="18"/>
                <w:szCs w:val="14"/>
              </w:rPr>
              <w:t>Instructions for Use may be provided in digital form to the extent, and only under the conditions, set out in implementing rules adopted pursuant to this Regulation.”</w:t>
            </w:r>
          </w:p>
          <w:p w14:paraId="0C196D48" w14:textId="77777777" w:rsidR="00F26E61" w:rsidRPr="00F97146" w:rsidRDefault="00F26E61" w:rsidP="00407A8E">
            <w:pPr>
              <w:spacing w:line="276" w:lineRule="auto"/>
              <w:rPr>
                <w:rFonts w:eastAsia="Segoe UI" w:cs="Segoe UI"/>
                <w:iCs w:val="0"/>
                <w:sz w:val="18"/>
                <w:szCs w:val="14"/>
              </w:rPr>
            </w:pPr>
          </w:p>
        </w:tc>
      </w:tr>
      <w:tr w:rsidR="00F26E61" w:rsidRPr="00F97146" w14:paraId="7DFE83C9" w14:textId="77777777" w:rsidTr="0022597C">
        <w:trPr>
          <w:trHeight w:val="324"/>
        </w:trPr>
        <w:tc>
          <w:tcPr>
            <w:tcW w:w="568" w:type="dxa"/>
          </w:tcPr>
          <w:p w14:paraId="05E4EAF6" w14:textId="77777777" w:rsidR="00F26E61" w:rsidRPr="00F97146" w:rsidRDefault="00F26E61" w:rsidP="00407A8E">
            <w:pPr>
              <w:spacing w:line="276" w:lineRule="auto"/>
              <w:ind w:left="-48" w:firstLine="6"/>
              <w:jc w:val="center"/>
              <w:rPr>
                <w:rFonts w:eastAsia="Segoe UI" w:cs="Segoe UI"/>
                <w:iCs w:val="0"/>
                <w:sz w:val="18"/>
                <w:szCs w:val="14"/>
              </w:rPr>
            </w:pPr>
            <w:r w:rsidRPr="00F97146">
              <w:rPr>
                <w:rFonts w:eastAsia="Segoe UI" w:cs="Segoe UI"/>
                <w:iCs w:val="0"/>
                <w:sz w:val="18"/>
                <w:szCs w:val="14"/>
              </w:rPr>
              <w:lastRenderedPageBreak/>
              <w:t>60</w:t>
            </w:r>
          </w:p>
        </w:tc>
        <w:tc>
          <w:tcPr>
            <w:tcW w:w="1132" w:type="dxa"/>
            <w:tcBorders>
              <w:top w:val="single" w:sz="4" w:space="0" w:color="auto"/>
              <w:left w:val="single" w:sz="4" w:space="0" w:color="auto"/>
              <w:bottom w:val="single" w:sz="4" w:space="0" w:color="auto"/>
              <w:right w:val="single" w:sz="4" w:space="0" w:color="auto"/>
            </w:tcBorders>
          </w:tcPr>
          <w:p w14:paraId="3A169158" w14:textId="77777777" w:rsidR="00F26E61" w:rsidRPr="00F97146" w:rsidDel="00390005" w:rsidRDefault="00F26E61" w:rsidP="00407A8E">
            <w:pPr>
              <w:spacing w:line="276" w:lineRule="auto"/>
              <w:ind w:left="-48" w:firstLine="6"/>
              <w:jc w:val="center"/>
              <w:rPr>
                <w:rFonts w:eastAsia="Segoe UI" w:cs="Segoe UI"/>
                <w:iCs w:val="0"/>
                <w:sz w:val="18"/>
                <w:szCs w:val="14"/>
              </w:rPr>
            </w:pPr>
            <w:r w:rsidRPr="00F97146">
              <w:rPr>
                <w:rFonts w:eastAsia="Segoe UI" w:cs="Segoe UI"/>
                <w:iCs w:val="0"/>
                <w:sz w:val="18"/>
                <w:szCs w:val="14"/>
              </w:rPr>
              <w:t>26</w:t>
            </w:r>
          </w:p>
        </w:tc>
        <w:tc>
          <w:tcPr>
            <w:tcW w:w="1106" w:type="dxa"/>
            <w:tcBorders>
              <w:top w:val="single" w:sz="4" w:space="0" w:color="auto"/>
              <w:left w:val="single" w:sz="4" w:space="0" w:color="auto"/>
              <w:bottom w:val="single" w:sz="4" w:space="0" w:color="auto"/>
              <w:right w:val="single" w:sz="4" w:space="0" w:color="auto"/>
            </w:tcBorders>
          </w:tcPr>
          <w:p w14:paraId="0ED2BCBB" w14:textId="77777777" w:rsidR="00F26E61" w:rsidRPr="00F97146" w:rsidDel="002F365C" w:rsidRDefault="00F26E61" w:rsidP="00407A8E">
            <w:pPr>
              <w:spacing w:line="276" w:lineRule="auto"/>
              <w:ind w:left="75"/>
              <w:jc w:val="center"/>
              <w:rPr>
                <w:rFonts w:eastAsia="Segoe UI" w:cs="Segoe UI"/>
                <w:iCs w:val="0"/>
                <w:sz w:val="18"/>
                <w:szCs w:val="14"/>
              </w:rPr>
            </w:pPr>
            <w:r w:rsidRPr="00F97146">
              <w:rPr>
                <w:rFonts w:eastAsia="Segoe UI" w:cs="Segoe UI"/>
                <w:iCs w:val="0"/>
                <w:sz w:val="18"/>
                <w:szCs w:val="14"/>
              </w:rPr>
              <w:t>Ann II</w:t>
            </w:r>
          </w:p>
        </w:tc>
        <w:tc>
          <w:tcPr>
            <w:tcW w:w="1148" w:type="dxa"/>
            <w:tcBorders>
              <w:top w:val="single" w:sz="4" w:space="0" w:color="auto"/>
              <w:left w:val="single" w:sz="4" w:space="0" w:color="auto"/>
              <w:bottom w:val="single" w:sz="4" w:space="0" w:color="auto"/>
              <w:right w:val="single" w:sz="4" w:space="0" w:color="auto"/>
            </w:tcBorders>
          </w:tcPr>
          <w:p w14:paraId="459F0AA8" w14:textId="77777777" w:rsidR="00F26E61" w:rsidRPr="00F97146" w:rsidRDefault="00F26E61" w:rsidP="00407A8E">
            <w:pPr>
              <w:spacing w:before="60"/>
              <w:jc w:val="center"/>
              <w:rPr>
                <w:rFonts w:eastAsia="Segoe UI" w:cs="Segoe UI"/>
                <w:iCs w:val="0"/>
                <w:sz w:val="18"/>
                <w:szCs w:val="14"/>
              </w:rPr>
            </w:pPr>
            <w:r w:rsidRPr="00F97146">
              <w:rPr>
                <w:rFonts w:eastAsia="Segoe UI" w:cs="Segoe UI"/>
                <w:iCs w:val="0"/>
                <w:sz w:val="18"/>
                <w:szCs w:val="14"/>
              </w:rPr>
              <w:t>1</w:t>
            </w:r>
          </w:p>
        </w:tc>
        <w:tc>
          <w:tcPr>
            <w:tcW w:w="1150" w:type="dxa"/>
            <w:tcBorders>
              <w:top w:val="single" w:sz="4" w:space="0" w:color="auto"/>
              <w:left w:val="single" w:sz="4" w:space="0" w:color="auto"/>
              <w:bottom w:val="single" w:sz="4" w:space="0" w:color="auto"/>
              <w:right w:val="single" w:sz="4" w:space="0" w:color="auto"/>
            </w:tcBorders>
          </w:tcPr>
          <w:p w14:paraId="016895C5" w14:textId="77777777" w:rsidR="00F26E61" w:rsidRPr="00F97146" w:rsidRDefault="00F26E61" w:rsidP="00407A8E">
            <w:pPr>
              <w:jc w:val="center"/>
              <w:rPr>
                <w:rFonts w:eastAsia="Segoe UI" w:cs="Segoe UI"/>
                <w:iCs w:val="0"/>
                <w:sz w:val="18"/>
                <w:szCs w:val="14"/>
              </w:rPr>
            </w:pPr>
            <w:r w:rsidRPr="00F97146">
              <w:rPr>
                <w:rFonts w:eastAsia="Segoe UI" w:cs="Segoe UI"/>
                <w:iCs w:val="0"/>
                <w:sz w:val="18"/>
                <w:szCs w:val="14"/>
              </w:rPr>
              <w:t>d(vii)</w:t>
            </w:r>
          </w:p>
        </w:tc>
        <w:tc>
          <w:tcPr>
            <w:tcW w:w="4813" w:type="dxa"/>
            <w:tcBorders>
              <w:top w:val="single" w:sz="4" w:space="0" w:color="auto"/>
              <w:left w:val="single" w:sz="4" w:space="0" w:color="auto"/>
              <w:bottom w:val="single" w:sz="4" w:space="0" w:color="auto"/>
              <w:right w:val="single" w:sz="4" w:space="0" w:color="auto"/>
            </w:tcBorders>
          </w:tcPr>
          <w:p w14:paraId="244645AA" w14:textId="77777777" w:rsidR="00F26E61" w:rsidRPr="00F97146" w:rsidRDefault="00F26E61" w:rsidP="00407A8E">
            <w:pPr>
              <w:rPr>
                <w:iCs w:val="0"/>
                <w:sz w:val="18"/>
                <w:szCs w:val="14"/>
              </w:rPr>
            </w:pPr>
            <w:r w:rsidRPr="00F97146">
              <w:rPr>
                <w:rFonts w:eastAsia="Segoe UI" w:cs="Segoe UI"/>
                <w:iCs w:val="0"/>
                <w:sz w:val="18"/>
                <w:szCs w:val="14"/>
              </w:rPr>
              <w:t xml:space="preserve">Commission proposal: </w:t>
            </w:r>
          </w:p>
          <w:p w14:paraId="36EB4CD9" w14:textId="77777777" w:rsidR="00F26E61" w:rsidRPr="00F97146" w:rsidRDefault="00F26E61" w:rsidP="00407A8E">
            <w:pPr>
              <w:rPr>
                <w:rFonts w:eastAsia="Segoe UI" w:cs="Segoe UI"/>
                <w:i/>
                <w:sz w:val="18"/>
                <w:szCs w:val="14"/>
              </w:rPr>
            </w:pPr>
            <w:r w:rsidRPr="00F97146">
              <w:rPr>
                <w:rFonts w:eastAsia="Segoe UI" w:cs="Segoe UI"/>
                <w:iCs w:val="0"/>
                <w:sz w:val="18"/>
                <w:szCs w:val="14"/>
              </w:rPr>
              <w:t>“</w:t>
            </w:r>
            <w:r w:rsidRPr="00F97146">
              <w:rPr>
                <w:rFonts w:eastAsia="Segoe UI" w:cs="Segoe UI"/>
                <w:i/>
                <w:sz w:val="18"/>
                <w:szCs w:val="14"/>
              </w:rPr>
              <w:t>date of issue of the instructions for use or, if they have been revised, date of issue and identifier of the latest revision of the instructions for use;</w:t>
            </w:r>
          </w:p>
          <w:p w14:paraId="7BEFE7C0" w14:textId="77777777" w:rsidR="00F26E61" w:rsidRPr="00F97146" w:rsidRDefault="00F26E61" w:rsidP="00407A8E">
            <w:pPr>
              <w:rPr>
                <w:i/>
                <w:sz w:val="18"/>
                <w:szCs w:val="14"/>
              </w:rPr>
            </w:pPr>
          </w:p>
          <w:p w14:paraId="3D9A9AD9" w14:textId="77777777" w:rsidR="00F26E61" w:rsidRPr="00F97146" w:rsidRDefault="00F26E61" w:rsidP="00407A8E">
            <w:pPr>
              <w:rPr>
                <w:rFonts w:eastAsia="Segoe UI" w:cs="Segoe UI"/>
                <w:i/>
                <w:sz w:val="18"/>
                <w:szCs w:val="14"/>
              </w:rPr>
            </w:pPr>
            <w:r w:rsidRPr="00F97146">
              <w:rPr>
                <w:rFonts w:eastAsia="Segoe UI" w:cs="Segoe UI"/>
                <w:i/>
                <w:sz w:val="18"/>
                <w:szCs w:val="14"/>
              </w:rPr>
              <w:t>Removal of with a clear indication of the introduced modifications.”</w:t>
            </w:r>
          </w:p>
          <w:p w14:paraId="6F335876" w14:textId="77777777" w:rsidR="00F26E61" w:rsidRPr="00F97146" w:rsidRDefault="00F26E61" w:rsidP="00407A8E">
            <w:pPr>
              <w:rPr>
                <w:i/>
                <w:sz w:val="18"/>
                <w:szCs w:val="14"/>
              </w:rPr>
            </w:pPr>
          </w:p>
          <w:p w14:paraId="1FD59AB5" w14:textId="77777777" w:rsidR="00F26E61" w:rsidRPr="00F97146" w:rsidRDefault="00F26E61" w:rsidP="00407A8E">
            <w:pPr>
              <w:rPr>
                <w:rFonts w:eastAsia="Segoe UI" w:cs="Segoe UI"/>
                <w:iCs w:val="0"/>
                <w:sz w:val="18"/>
                <w:szCs w:val="14"/>
              </w:rPr>
            </w:pPr>
            <w:r w:rsidRPr="00F97146">
              <w:rPr>
                <w:rFonts w:eastAsia="Segoe UI" w:cs="Segoe UI"/>
                <w:iCs w:val="0"/>
                <w:sz w:val="18"/>
                <w:szCs w:val="14"/>
              </w:rPr>
              <w:t>It is important for the end user to be able to detect what has changed. Not having a clear revision history might be a concern for the patient's safety if this results in a mistake in the use of the device.</w:t>
            </w:r>
          </w:p>
        </w:tc>
        <w:tc>
          <w:tcPr>
            <w:tcW w:w="5251" w:type="dxa"/>
            <w:tcBorders>
              <w:top w:val="single" w:sz="4" w:space="0" w:color="auto"/>
              <w:left w:val="single" w:sz="4" w:space="0" w:color="auto"/>
              <w:bottom w:val="single" w:sz="4" w:space="0" w:color="auto"/>
              <w:right w:val="single" w:sz="4" w:space="0" w:color="auto"/>
            </w:tcBorders>
          </w:tcPr>
          <w:p w14:paraId="609CE4B3" w14:textId="77777777" w:rsidR="00F26E61" w:rsidRPr="00F97146" w:rsidRDefault="00F26E61" w:rsidP="00407A8E">
            <w:pPr>
              <w:spacing w:line="276" w:lineRule="auto"/>
              <w:rPr>
                <w:rFonts w:eastAsia="Segoe UI" w:cs="Segoe UI"/>
                <w:iCs w:val="0"/>
                <w:sz w:val="18"/>
                <w:szCs w:val="14"/>
              </w:rPr>
            </w:pPr>
            <w:r w:rsidRPr="00F97146">
              <w:rPr>
                <w:rFonts w:eastAsia="Segoe UI" w:cs="Segoe UI"/>
                <w:iCs w:val="0"/>
                <w:sz w:val="18"/>
                <w:szCs w:val="14"/>
              </w:rPr>
              <w:t>Reinstate existing requirement that any modifications must be clearly identified in the instructions for use.</w:t>
            </w:r>
          </w:p>
        </w:tc>
      </w:tr>
      <w:tr w:rsidR="00F26E61" w:rsidRPr="00F97146" w14:paraId="2397F3C6" w14:textId="77777777" w:rsidTr="0022597C">
        <w:trPr>
          <w:trHeight w:val="324"/>
        </w:trPr>
        <w:tc>
          <w:tcPr>
            <w:tcW w:w="568" w:type="dxa"/>
          </w:tcPr>
          <w:p w14:paraId="2812B147" w14:textId="77777777" w:rsidR="00F26E61" w:rsidRPr="00F97146" w:rsidRDefault="00F26E61" w:rsidP="00407A8E">
            <w:pPr>
              <w:spacing w:line="276" w:lineRule="auto"/>
              <w:ind w:left="-48" w:firstLine="6"/>
              <w:jc w:val="center"/>
              <w:rPr>
                <w:rFonts w:eastAsia="Segoe UI" w:cs="Segoe UI"/>
                <w:iCs w:val="0"/>
                <w:sz w:val="18"/>
                <w:szCs w:val="14"/>
              </w:rPr>
            </w:pPr>
            <w:r w:rsidRPr="00F97146">
              <w:rPr>
                <w:rFonts w:eastAsia="Segoe UI" w:cs="Segoe UI"/>
                <w:iCs w:val="0"/>
                <w:sz w:val="18"/>
                <w:szCs w:val="14"/>
              </w:rPr>
              <w:t>61</w:t>
            </w:r>
          </w:p>
        </w:tc>
        <w:tc>
          <w:tcPr>
            <w:tcW w:w="1132" w:type="dxa"/>
            <w:tcBorders>
              <w:top w:val="single" w:sz="4" w:space="0" w:color="auto"/>
              <w:left w:val="single" w:sz="4" w:space="0" w:color="auto"/>
              <w:bottom w:val="single" w:sz="4" w:space="0" w:color="auto"/>
              <w:right w:val="single" w:sz="4" w:space="0" w:color="auto"/>
            </w:tcBorders>
          </w:tcPr>
          <w:p w14:paraId="7027C2FD" w14:textId="77777777" w:rsidR="00F26E61" w:rsidRPr="00F97146" w:rsidRDefault="00F26E61" w:rsidP="00407A8E">
            <w:pPr>
              <w:spacing w:line="276" w:lineRule="auto"/>
              <w:ind w:left="-48" w:firstLine="6"/>
              <w:jc w:val="center"/>
              <w:rPr>
                <w:rFonts w:eastAsia="Segoe UI" w:cs="Segoe UI"/>
                <w:iCs w:val="0"/>
                <w:sz w:val="18"/>
                <w:szCs w:val="14"/>
              </w:rPr>
            </w:pPr>
            <w:r w:rsidRPr="00F97146">
              <w:rPr>
                <w:rFonts w:eastAsia="Segoe UI" w:cs="Segoe UI"/>
                <w:iCs w:val="0"/>
                <w:sz w:val="18"/>
                <w:szCs w:val="14"/>
              </w:rPr>
              <w:t>25</w:t>
            </w:r>
          </w:p>
        </w:tc>
        <w:tc>
          <w:tcPr>
            <w:tcW w:w="1106" w:type="dxa"/>
            <w:tcBorders>
              <w:top w:val="single" w:sz="4" w:space="0" w:color="auto"/>
              <w:left w:val="single" w:sz="4" w:space="0" w:color="auto"/>
              <w:bottom w:val="single" w:sz="4" w:space="0" w:color="auto"/>
              <w:right w:val="single" w:sz="4" w:space="0" w:color="auto"/>
            </w:tcBorders>
          </w:tcPr>
          <w:p w14:paraId="407047B7" w14:textId="77777777" w:rsidR="00F26E61" w:rsidRPr="00F97146" w:rsidRDefault="00F26E61" w:rsidP="00407A8E">
            <w:pPr>
              <w:spacing w:line="276" w:lineRule="auto"/>
              <w:ind w:left="75"/>
              <w:jc w:val="center"/>
              <w:rPr>
                <w:rFonts w:cs="Segoe UI"/>
                <w:iCs w:val="0"/>
                <w:sz w:val="18"/>
                <w:szCs w:val="14"/>
                <w:lang w:val="de-DE"/>
              </w:rPr>
            </w:pPr>
            <w:r w:rsidRPr="00F97146">
              <w:rPr>
                <w:rFonts w:eastAsia="Segoe UI" w:cs="Segoe UI"/>
                <w:iCs w:val="0"/>
                <w:sz w:val="18"/>
                <w:szCs w:val="14"/>
              </w:rPr>
              <w:t>Ann II</w:t>
            </w:r>
          </w:p>
        </w:tc>
        <w:tc>
          <w:tcPr>
            <w:tcW w:w="1148" w:type="dxa"/>
            <w:tcBorders>
              <w:top w:val="single" w:sz="4" w:space="0" w:color="auto"/>
              <w:left w:val="single" w:sz="4" w:space="0" w:color="auto"/>
              <w:bottom w:val="single" w:sz="4" w:space="0" w:color="auto"/>
              <w:right w:val="single" w:sz="4" w:space="0" w:color="auto"/>
            </w:tcBorders>
          </w:tcPr>
          <w:p w14:paraId="2E7C0F39" w14:textId="77777777" w:rsidR="00F26E61" w:rsidRPr="00F97146" w:rsidRDefault="00F26E61" w:rsidP="00407A8E">
            <w:pPr>
              <w:spacing w:before="60"/>
              <w:jc w:val="center"/>
              <w:rPr>
                <w:rFonts w:eastAsia="Segoe UI" w:cs="Segoe UI"/>
                <w:iCs w:val="0"/>
                <w:sz w:val="18"/>
                <w:szCs w:val="14"/>
              </w:rPr>
            </w:pPr>
            <w:r w:rsidRPr="00F97146">
              <w:rPr>
                <w:rFonts w:eastAsia="Segoe UI" w:cs="Segoe UI"/>
                <w:iCs w:val="0"/>
                <w:sz w:val="18"/>
                <w:szCs w:val="14"/>
              </w:rPr>
              <w:t>1</w:t>
            </w:r>
          </w:p>
        </w:tc>
        <w:tc>
          <w:tcPr>
            <w:tcW w:w="1150" w:type="dxa"/>
            <w:tcBorders>
              <w:top w:val="single" w:sz="4" w:space="0" w:color="auto"/>
              <w:left w:val="single" w:sz="4" w:space="0" w:color="auto"/>
              <w:bottom w:val="single" w:sz="4" w:space="0" w:color="auto"/>
              <w:right w:val="single" w:sz="4" w:space="0" w:color="auto"/>
            </w:tcBorders>
          </w:tcPr>
          <w:p w14:paraId="6860CC14" w14:textId="77777777" w:rsidR="00F26E61" w:rsidRPr="00F97146" w:rsidRDefault="00F26E61" w:rsidP="00407A8E">
            <w:pPr>
              <w:jc w:val="center"/>
              <w:rPr>
                <w:rFonts w:cs="Segoe UI"/>
                <w:iCs w:val="0"/>
                <w:sz w:val="18"/>
                <w:szCs w:val="14"/>
                <w:lang w:val="en-US"/>
              </w:rPr>
            </w:pPr>
            <w:r w:rsidRPr="00F97146">
              <w:rPr>
                <w:rFonts w:eastAsia="Segoe UI" w:cs="Segoe UI"/>
                <w:iCs w:val="0"/>
                <w:sz w:val="18"/>
                <w:szCs w:val="14"/>
              </w:rPr>
              <w:t>v</w:t>
            </w:r>
          </w:p>
        </w:tc>
        <w:tc>
          <w:tcPr>
            <w:tcW w:w="4813" w:type="dxa"/>
            <w:tcBorders>
              <w:top w:val="single" w:sz="4" w:space="0" w:color="auto"/>
              <w:left w:val="single" w:sz="4" w:space="0" w:color="auto"/>
              <w:bottom w:val="single" w:sz="4" w:space="0" w:color="auto"/>
              <w:right w:val="single" w:sz="4" w:space="0" w:color="auto"/>
            </w:tcBorders>
          </w:tcPr>
          <w:p w14:paraId="64821B51" w14:textId="77777777" w:rsidR="00F26E61" w:rsidRPr="00F97146" w:rsidRDefault="00F26E61" w:rsidP="00407A8E">
            <w:pPr>
              <w:spacing w:before="60"/>
              <w:rPr>
                <w:iCs w:val="0"/>
                <w:sz w:val="18"/>
                <w:szCs w:val="14"/>
              </w:rPr>
            </w:pPr>
            <w:r w:rsidRPr="00F97146">
              <w:rPr>
                <w:rFonts w:eastAsia="Segoe UI" w:cs="Segoe UI"/>
                <w:iCs w:val="0"/>
                <w:sz w:val="18"/>
                <w:szCs w:val="14"/>
              </w:rPr>
              <w:t xml:space="preserve">Commission proposal: </w:t>
            </w:r>
          </w:p>
          <w:p w14:paraId="6E5EDC86" w14:textId="77777777" w:rsidR="00F26E61" w:rsidRPr="00F97146" w:rsidRDefault="00F26E61" w:rsidP="00407A8E">
            <w:pPr>
              <w:spacing w:before="60"/>
              <w:rPr>
                <w:i/>
                <w:sz w:val="18"/>
                <w:szCs w:val="14"/>
              </w:rPr>
            </w:pPr>
            <w:r w:rsidRPr="00F97146">
              <w:rPr>
                <w:rFonts w:eastAsia="Segoe UI" w:cs="Segoe UI"/>
                <w:i/>
                <w:sz w:val="18"/>
                <w:szCs w:val="14"/>
              </w:rPr>
              <w:t xml:space="preserve">“For devices that are used exclusively with a medicinal product in accordance with Art 19 of [Proposal for a Directive on the Union code relating to medicinal products for human use, and repealing Directive 2011/83/EC and Directive 2009/35/EC] and packaged together with a medicinal product, the instructions for use may be included, where needed, as part of the co-packaging of the medicinal product with the device. Moreover, the information on the label of the device may be limited to the particulars referred to in Section </w:t>
            </w:r>
            <w:r w:rsidRPr="00F97146">
              <w:rPr>
                <w:rFonts w:eastAsia="Segoe UI" w:cs="Segoe UI"/>
                <w:i/>
                <w:sz w:val="18"/>
                <w:szCs w:val="14"/>
              </w:rPr>
              <w:lastRenderedPageBreak/>
              <w:t>20.2., points (a) and (c), where, following agreement of the competent authority responsible for the authorisation of the medicinal product, the following conditions are met:</w:t>
            </w:r>
          </w:p>
          <w:p w14:paraId="483EE250" w14:textId="77777777" w:rsidR="00F26E61" w:rsidRPr="00F97146" w:rsidRDefault="00F26E61" w:rsidP="00F26E61">
            <w:pPr>
              <w:pStyle w:val="Paragraphedeliste"/>
              <w:numPr>
                <w:ilvl w:val="1"/>
                <w:numId w:val="95"/>
              </w:numPr>
              <w:spacing w:before="60" w:after="0"/>
              <w:rPr>
                <w:i/>
                <w:sz w:val="18"/>
                <w:szCs w:val="14"/>
              </w:rPr>
            </w:pPr>
            <w:r w:rsidRPr="00F97146">
              <w:rPr>
                <w:rFonts w:eastAsia="Segoe UI" w:cs="Segoe UI"/>
                <w:i/>
                <w:sz w:val="18"/>
                <w:szCs w:val="14"/>
              </w:rPr>
              <w:t>the information necessary for safe use and correct functioning of the device is provided to the user with the summary of product characteristics and/or package leaflet of the medicinal product under the responsibility of the marketing authorisation holder set out in [Proposal for a Directive on the Union code relating to medicinal products for human use, and repealing Directive 2011/83/EC and Directive 2009/35/EC;</w:t>
            </w:r>
          </w:p>
          <w:p w14:paraId="2F7CE49D" w14:textId="77777777" w:rsidR="00F26E61" w:rsidRPr="00F97146" w:rsidRDefault="00F26E61" w:rsidP="00F26E61">
            <w:pPr>
              <w:pStyle w:val="Paragraphedeliste"/>
              <w:numPr>
                <w:ilvl w:val="1"/>
                <w:numId w:val="95"/>
              </w:numPr>
              <w:spacing w:before="60" w:after="0"/>
              <w:rPr>
                <w:i/>
                <w:sz w:val="18"/>
                <w:szCs w:val="14"/>
              </w:rPr>
            </w:pPr>
            <w:r w:rsidRPr="00F97146">
              <w:rPr>
                <w:rFonts w:eastAsia="Segoe UI" w:cs="Segoe UI"/>
                <w:i/>
                <w:sz w:val="18"/>
                <w:szCs w:val="14"/>
              </w:rPr>
              <w:t xml:space="preserve"> the traceability and identification of the device is ensured by the marketing authorisation holder.”</w:t>
            </w:r>
          </w:p>
          <w:p w14:paraId="655B34CC" w14:textId="77777777" w:rsidR="00F26E61" w:rsidRPr="00F97146" w:rsidRDefault="00F26E61" w:rsidP="00407A8E">
            <w:pPr>
              <w:spacing w:before="60"/>
              <w:rPr>
                <w:rFonts w:eastAsia="Segoe UI" w:cs="Segoe UI"/>
                <w:iCs w:val="0"/>
                <w:sz w:val="18"/>
                <w:szCs w:val="14"/>
              </w:rPr>
            </w:pPr>
          </w:p>
          <w:p w14:paraId="7705672C" w14:textId="77777777" w:rsidR="00F26E61" w:rsidRPr="00F97146" w:rsidRDefault="00F26E61" w:rsidP="00407A8E">
            <w:pPr>
              <w:rPr>
                <w:rFonts w:eastAsia="Segoe UI" w:cs="Segoe UI"/>
                <w:b/>
                <w:bCs/>
                <w:iCs w:val="0"/>
                <w:sz w:val="18"/>
                <w:szCs w:val="14"/>
              </w:rPr>
            </w:pPr>
            <w:r w:rsidRPr="00F97146">
              <w:rPr>
                <w:rFonts w:eastAsia="Segoe UI" w:cs="Segoe UI"/>
                <w:iCs w:val="0"/>
                <w:sz w:val="18"/>
                <w:szCs w:val="14"/>
              </w:rPr>
              <w:t>It is unclear why this provision has been introduced. Medicinal products are generally not packaged together with an IVD even for companion diagnostics. The diagnostic test is performed before the medicinal product is prescribed, not co</w:t>
            </w:r>
            <w:r w:rsidRPr="00F97146">
              <w:rPr>
                <w:rFonts w:ascii="Cambria Math" w:eastAsia="Segoe UI" w:hAnsi="Cambria Math" w:cs="Cambria Math"/>
                <w:iCs w:val="0"/>
                <w:sz w:val="18"/>
                <w:szCs w:val="14"/>
              </w:rPr>
              <w:t>‑</w:t>
            </w:r>
            <w:r w:rsidRPr="00F97146">
              <w:rPr>
                <w:rFonts w:eastAsia="Segoe UI" w:cs="Segoe UI"/>
                <w:iCs w:val="0"/>
                <w:sz w:val="18"/>
                <w:szCs w:val="14"/>
              </w:rPr>
              <w:t>packaged or co</w:t>
            </w:r>
            <w:r w:rsidRPr="00F97146">
              <w:rPr>
                <w:rFonts w:ascii="Cambria Math" w:eastAsia="Segoe UI" w:hAnsi="Cambria Math" w:cs="Cambria Math"/>
                <w:iCs w:val="0"/>
                <w:sz w:val="18"/>
                <w:szCs w:val="14"/>
              </w:rPr>
              <w:t>‑</w:t>
            </w:r>
            <w:r w:rsidRPr="00F97146">
              <w:rPr>
                <w:rFonts w:eastAsia="Segoe UI" w:cs="Segoe UI"/>
                <w:iCs w:val="0"/>
                <w:sz w:val="18"/>
                <w:szCs w:val="14"/>
              </w:rPr>
              <w:t>supplied with it. Therefore, the rationale for linking the two in this context is not evident.</w:t>
            </w:r>
          </w:p>
        </w:tc>
        <w:tc>
          <w:tcPr>
            <w:tcW w:w="5251" w:type="dxa"/>
            <w:tcBorders>
              <w:top w:val="single" w:sz="4" w:space="0" w:color="auto"/>
              <w:left w:val="single" w:sz="4" w:space="0" w:color="auto"/>
              <w:bottom w:val="single" w:sz="4" w:space="0" w:color="auto"/>
              <w:right w:val="single" w:sz="4" w:space="0" w:color="auto"/>
            </w:tcBorders>
          </w:tcPr>
          <w:p w14:paraId="255406DC" w14:textId="77777777" w:rsidR="00F26E61" w:rsidRPr="00F97146" w:rsidRDefault="00F26E61" w:rsidP="00407A8E">
            <w:pPr>
              <w:spacing w:line="276" w:lineRule="auto"/>
              <w:rPr>
                <w:rFonts w:eastAsia="Segoe UI" w:cs="Segoe UI"/>
                <w:sz w:val="18"/>
                <w:szCs w:val="14"/>
              </w:rPr>
            </w:pPr>
            <w:r w:rsidRPr="00F97146">
              <w:rPr>
                <w:rFonts w:eastAsia="Segoe UI" w:cs="Segoe UI"/>
                <w:iCs w:val="0"/>
                <w:sz w:val="18"/>
                <w:szCs w:val="14"/>
              </w:rPr>
              <w:lastRenderedPageBreak/>
              <w:t>Delete this paragraph or clarify why this is being added.</w:t>
            </w:r>
          </w:p>
        </w:tc>
      </w:tr>
      <w:tr w:rsidR="00F26E61" w:rsidRPr="00F97146" w14:paraId="698D40C5" w14:textId="77777777" w:rsidTr="0022597C">
        <w:trPr>
          <w:trHeight w:val="324"/>
        </w:trPr>
        <w:tc>
          <w:tcPr>
            <w:tcW w:w="568" w:type="dxa"/>
          </w:tcPr>
          <w:p w14:paraId="176FC235" w14:textId="77777777" w:rsidR="00F26E61" w:rsidRPr="00F97146" w:rsidRDefault="00F26E61" w:rsidP="00407A8E">
            <w:pPr>
              <w:spacing w:line="276" w:lineRule="auto"/>
              <w:ind w:left="-48" w:firstLine="6"/>
              <w:jc w:val="center"/>
              <w:rPr>
                <w:rFonts w:eastAsia="Segoe UI" w:cs="Segoe UI"/>
                <w:iCs w:val="0"/>
                <w:sz w:val="18"/>
                <w:szCs w:val="14"/>
              </w:rPr>
            </w:pPr>
            <w:r w:rsidRPr="00F97146">
              <w:rPr>
                <w:rFonts w:eastAsia="Segoe UI" w:cs="Segoe UI"/>
                <w:iCs w:val="0"/>
                <w:sz w:val="18"/>
                <w:szCs w:val="14"/>
              </w:rPr>
              <w:t>62</w:t>
            </w:r>
          </w:p>
        </w:tc>
        <w:tc>
          <w:tcPr>
            <w:tcW w:w="1132" w:type="dxa"/>
            <w:tcBorders>
              <w:top w:val="single" w:sz="4" w:space="0" w:color="auto"/>
              <w:left w:val="single" w:sz="4" w:space="0" w:color="auto"/>
              <w:bottom w:val="single" w:sz="4" w:space="0" w:color="auto"/>
              <w:right w:val="single" w:sz="4" w:space="0" w:color="auto"/>
            </w:tcBorders>
          </w:tcPr>
          <w:p w14:paraId="357A2579" w14:textId="77777777" w:rsidR="00F26E61" w:rsidRPr="00F97146" w:rsidDel="00390005" w:rsidRDefault="00F26E61" w:rsidP="00407A8E">
            <w:pPr>
              <w:spacing w:line="276" w:lineRule="auto"/>
              <w:ind w:left="-48" w:firstLine="6"/>
              <w:jc w:val="center"/>
              <w:rPr>
                <w:rFonts w:eastAsia="Segoe UI" w:cs="Segoe UI"/>
                <w:iCs w:val="0"/>
                <w:sz w:val="18"/>
                <w:szCs w:val="14"/>
              </w:rPr>
            </w:pPr>
            <w:r w:rsidRPr="00F97146">
              <w:rPr>
                <w:rFonts w:eastAsia="Segoe UI" w:cs="Segoe UI"/>
                <w:iCs w:val="0"/>
                <w:sz w:val="18"/>
                <w:szCs w:val="14"/>
              </w:rPr>
              <w:t>27</w:t>
            </w:r>
          </w:p>
        </w:tc>
        <w:tc>
          <w:tcPr>
            <w:tcW w:w="1106" w:type="dxa"/>
            <w:tcBorders>
              <w:top w:val="single" w:sz="4" w:space="0" w:color="auto"/>
              <w:left w:val="single" w:sz="4" w:space="0" w:color="auto"/>
              <w:bottom w:val="single" w:sz="4" w:space="0" w:color="auto"/>
              <w:right w:val="single" w:sz="4" w:space="0" w:color="auto"/>
            </w:tcBorders>
          </w:tcPr>
          <w:p w14:paraId="29FC71F8" w14:textId="77777777" w:rsidR="00F26E61" w:rsidRPr="00F97146" w:rsidDel="002F365C" w:rsidRDefault="00F26E61" w:rsidP="00407A8E">
            <w:pPr>
              <w:spacing w:line="276" w:lineRule="auto"/>
              <w:ind w:left="75"/>
              <w:jc w:val="center"/>
              <w:rPr>
                <w:rFonts w:eastAsia="Segoe UI" w:cs="Segoe UI"/>
                <w:iCs w:val="0"/>
                <w:sz w:val="18"/>
                <w:szCs w:val="14"/>
              </w:rPr>
            </w:pPr>
            <w:r w:rsidRPr="00F97146">
              <w:rPr>
                <w:rFonts w:cs="Segoe UI"/>
                <w:iCs w:val="0"/>
                <w:sz w:val="18"/>
                <w:szCs w:val="14"/>
                <w:lang w:val="de-DE"/>
              </w:rPr>
              <w:t>Ann II</w:t>
            </w:r>
          </w:p>
        </w:tc>
        <w:tc>
          <w:tcPr>
            <w:tcW w:w="1148" w:type="dxa"/>
            <w:tcBorders>
              <w:top w:val="single" w:sz="4" w:space="0" w:color="auto"/>
              <w:left w:val="single" w:sz="4" w:space="0" w:color="auto"/>
              <w:bottom w:val="single" w:sz="4" w:space="0" w:color="auto"/>
              <w:right w:val="single" w:sz="4" w:space="0" w:color="auto"/>
            </w:tcBorders>
          </w:tcPr>
          <w:p w14:paraId="54ACF6DB" w14:textId="77777777" w:rsidR="00F26E61" w:rsidRPr="00F97146" w:rsidRDefault="00F26E61" w:rsidP="00407A8E">
            <w:pPr>
              <w:spacing w:before="60"/>
              <w:jc w:val="center"/>
              <w:rPr>
                <w:rFonts w:eastAsia="Segoe UI" w:cs="Segoe UI"/>
                <w:iCs w:val="0"/>
                <w:sz w:val="18"/>
                <w:szCs w:val="14"/>
              </w:rPr>
            </w:pPr>
            <w:r w:rsidRPr="00F97146">
              <w:rPr>
                <w:rFonts w:eastAsia="Segoe UI" w:cs="Segoe UI"/>
                <w:iCs w:val="0"/>
                <w:sz w:val="18"/>
                <w:szCs w:val="14"/>
              </w:rPr>
              <w:t>2</w:t>
            </w:r>
          </w:p>
        </w:tc>
        <w:tc>
          <w:tcPr>
            <w:tcW w:w="1150" w:type="dxa"/>
            <w:tcBorders>
              <w:top w:val="single" w:sz="4" w:space="0" w:color="auto"/>
              <w:left w:val="single" w:sz="4" w:space="0" w:color="auto"/>
              <w:bottom w:val="single" w:sz="4" w:space="0" w:color="auto"/>
              <w:right w:val="single" w:sz="4" w:space="0" w:color="auto"/>
            </w:tcBorders>
          </w:tcPr>
          <w:p w14:paraId="0A871F81" w14:textId="77777777" w:rsidR="00F26E61" w:rsidRPr="00F97146" w:rsidRDefault="00F26E61" w:rsidP="00407A8E">
            <w:pPr>
              <w:jc w:val="center"/>
              <w:rPr>
                <w:rFonts w:eastAsia="Segoe UI" w:cs="Segoe UI"/>
                <w:iCs w:val="0"/>
                <w:sz w:val="18"/>
                <w:szCs w:val="14"/>
              </w:rPr>
            </w:pPr>
            <w:r w:rsidRPr="00F97146">
              <w:rPr>
                <w:rFonts w:cs="Segoe UI"/>
                <w:iCs w:val="0"/>
                <w:sz w:val="18"/>
                <w:szCs w:val="14"/>
                <w:lang w:val="en-US"/>
              </w:rPr>
              <w:t>f</w:t>
            </w:r>
          </w:p>
        </w:tc>
        <w:tc>
          <w:tcPr>
            <w:tcW w:w="4813" w:type="dxa"/>
            <w:tcBorders>
              <w:top w:val="single" w:sz="4" w:space="0" w:color="auto"/>
              <w:left w:val="single" w:sz="4" w:space="0" w:color="auto"/>
              <w:bottom w:val="single" w:sz="4" w:space="0" w:color="auto"/>
              <w:right w:val="single" w:sz="4" w:space="0" w:color="auto"/>
            </w:tcBorders>
          </w:tcPr>
          <w:p w14:paraId="7CD05992" w14:textId="77777777" w:rsidR="00F26E61" w:rsidRPr="00F97146" w:rsidRDefault="00F26E61" w:rsidP="00407A8E">
            <w:pPr>
              <w:rPr>
                <w:rFonts w:eastAsia="Segoe UI" w:cs="Segoe UI"/>
                <w:iCs w:val="0"/>
                <w:sz w:val="18"/>
                <w:szCs w:val="14"/>
              </w:rPr>
            </w:pPr>
            <w:r w:rsidRPr="00F97146">
              <w:rPr>
                <w:rFonts w:eastAsia="Segoe UI" w:cs="Segoe UI"/>
                <w:iCs w:val="0"/>
                <w:sz w:val="18"/>
                <w:szCs w:val="14"/>
              </w:rPr>
              <w:t>Commission proposal:</w:t>
            </w:r>
          </w:p>
          <w:p w14:paraId="600941B4" w14:textId="77777777" w:rsidR="00F26E61" w:rsidRPr="00F97146" w:rsidRDefault="00F26E61" w:rsidP="00407A8E">
            <w:pPr>
              <w:rPr>
                <w:rFonts w:eastAsia="Segoe UI" w:cs="Segoe UI"/>
                <w:iCs w:val="0"/>
                <w:sz w:val="18"/>
                <w:szCs w:val="14"/>
              </w:rPr>
            </w:pPr>
            <w:r w:rsidRPr="00F97146">
              <w:rPr>
                <w:rFonts w:eastAsia="Segoe UI" w:cs="Segoe UI"/>
                <w:iCs w:val="0"/>
                <w:sz w:val="18"/>
                <w:szCs w:val="14"/>
              </w:rPr>
              <w:t>“</w:t>
            </w:r>
            <w:r w:rsidRPr="00F97146">
              <w:rPr>
                <w:rFonts w:eastAsia="Segoe UI" w:cs="Segoe UI"/>
                <w:i/>
                <w:sz w:val="18"/>
                <w:szCs w:val="14"/>
              </w:rPr>
              <w:t xml:space="preserve">Where the device incorporates as an integral part a medical device that has an action ancillary to that of the device, as referred to in Art 1(4) of this Regulation, the documentation shall include the results of the assessment of the conformity of the medical device part with the relevant general safety and performance requirements set out in Annex I to </w:t>
            </w:r>
            <w:r w:rsidRPr="00F97146">
              <w:rPr>
                <w:rFonts w:eastAsia="Segoe UI" w:cs="Segoe UI"/>
                <w:i/>
                <w:sz w:val="18"/>
                <w:szCs w:val="14"/>
              </w:rPr>
              <w:lastRenderedPageBreak/>
              <w:t>Regulation (EU) 2017/745 contained in the manufacturer's EU declaration of conformity or the relevant certificate issued by a notified body allowing the manufacturer to affix a CE marking to the medical device. Where those results of the conformity assessment are not available and where for the conformity assessment of medical device, if used separately, the involvement of a notified body is required in accordance with Regulation (EU) 2017/745, an opinion on the conformity of the medical device part with the relevant general safety and performance requirements set out in Annex I to Regulation 2017/745 issued by a notified body designated in accordance with that Regulation for the type of device in question shall be included in the documentation.”</w:t>
            </w:r>
          </w:p>
          <w:p w14:paraId="5E2A8668" w14:textId="77777777" w:rsidR="00F26E61" w:rsidRPr="00F97146" w:rsidRDefault="00F26E61" w:rsidP="00407A8E">
            <w:pPr>
              <w:rPr>
                <w:rFonts w:eastAsia="Segoe UI" w:cs="Segoe UI"/>
                <w:iCs w:val="0"/>
                <w:sz w:val="18"/>
                <w:szCs w:val="14"/>
              </w:rPr>
            </w:pPr>
          </w:p>
          <w:p w14:paraId="207332D4" w14:textId="77777777" w:rsidR="00F26E61" w:rsidRPr="00F97146" w:rsidRDefault="00F26E61" w:rsidP="00407A8E">
            <w:pPr>
              <w:rPr>
                <w:rFonts w:eastAsia="Segoe UI" w:cs="Segoe UI"/>
                <w:iCs w:val="0"/>
                <w:sz w:val="18"/>
                <w:szCs w:val="14"/>
              </w:rPr>
            </w:pPr>
            <w:r w:rsidRPr="00F97146">
              <w:rPr>
                <w:rFonts w:eastAsia="Segoe UI" w:cs="Segoe UI"/>
                <w:iCs w:val="0"/>
                <w:sz w:val="18"/>
                <w:szCs w:val="14"/>
              </w:rPr>
              <w:t>The meaning of this provision is unclear. The mechanism for issuing “opinions” is not defined, including whether NBs are expected to issue them, who would be responsible, how device</w:t>
            </w:r>
            <w:r w:rsidRPr="00F97146">
              <w:rPr>
                <w:rFonts w:ascii="Cambria Math" w:eastAsia="Segoe UI" w:hAnsi="Cambria Math" w:cs="Cambria Math"/>
                <w:iCs w:val="0"/>
                <w:sz w:val="18"/>
                <w:szCs w:val="14"/>
              </w:rPr>
              <w:t>‑</w:t>
            </w:r>
            <w:r w:rsidRPr="00F97146">
              <w:rPr>
                <w:rFonts w:eastAsia="Segoe UI" w:cs="Segoe UI"/>
                <w:iCs w:val="0"/>
                <w:sz w:val="18"/>
                <w:szCs w:val="14"/>
              </w:rPr>
              <w:t>related issues and confidentiality would be managed, and what level of detail or documentation such opinions should contain.</w:t>
            </w:r>
          </w:p>
        </w:tc>
        <w:tc>
          <w:tcPr>
            <w:tcW w:w="5251" w:type="dxa"/>
            <w:tcBorders>
              <w:top w:val="single" w:sz="4" w:space="0" w:color="auto"/>
              <w:left w:val="single" w:sz="4" w:space="0" w:color="auto"/>
              <w:bottom w:val="single" w:sz="4" w:space="0" w:color="auto"/>
              <w:right w:val="single" w:sz="4" w:space="0" w:color="auto"/>
            </w:tcBorders>
          </w:tcPr>
          <w:p w14:paraId="7E71A9D5" w14:textId="77777777" w:rsidR="00F26E61" w:rsidRPr="00F97146" w:rsidRDefault="00F26E61" w:rsidP="00407A8E">
            <w:pPr>
              <w:spacing w:line="276" w:lineRule="auto"/>
              <w:rPr>
                <w:rFonts w:eastAsia="Segoe UI" w:cs="Segoe UI"/>
                <w:iCs w:val="0"/>
                <w:sz w:val="18"/>
                <w:szCs w:val="14"/>
              </w:rPr>
            </w:pPr>
            <w:r w:rsidRPr="00F97146">
              <w:rPr>
                <w:rFonts w:eastAsia="Segoe UI" w:cs="Segoe UI"/>
                <w:sz w:val="18"/>
                <w:szCs w:val="14"/>
              </w:rPr>
              <w:lastRenderedPageBreak/>
              <w:t>Provide a clarification on the mechanism of opinions among NBs.</w:t>
            </w:r>
          </w:p>
        </w:tc>
      </w:tr>
      <w:tr w:rsidR="00F26E61" w:rsidRPr="00F97146" w14:paraId="5E06B1D8" w14:textId="77777777" w:rsidTr="0022597C">
        <w:trPr>
          <w:trHeight w:val="324"/>
        </w:trPr>
        <w:tc>
          <w:tcPr>
            <w:tcW w:w="568" w:type="dxa"/>
          </w:tcPr>
          <w:p w14:paraId="6AFAB116" w14:textId="77777777" w:rsidR="00F26E61" w:rsidRPr="00F97146" w:rsidRDefault="00F26E61" w:rsidP="00407A8E">
            <w:pPr>
              <w:spacing w:line="276" w:lineRule="auto"/>
              <w:ind w:left="-48" w:firstLine="6"/>
              <w:jc w:val="center"/>
              <w:rPr>
                <w:rFonts w:eastAsia="Segoe UI" w:cs="Segoe UI"/>
                <w:iCs w:val="0"/>
                <w:sz w:val="18"/>
                <w:szCs w:val="14"/>
              </w:rPr>
            </w:pPr>
            <w:r w:rsidRPr="00F97146">
              <w:rPr>
                <w:rFonts w:eastAsia="Segoe UI" w:cs="Segoe UI"/>
                <w:iCs w:val="0"/>
                <w:sz w:val="18"/>
                <w:szCs w:val="14"/>
              </w:rPr>
              <w:t>63</w:t>
            </w:r>
          </w:p>
        </w:tc>
        <w:tc>
          <w:tcPr>
            <w:tcW w:w="1132" w:type="dxa"/>
            <w:tcBorders>
              <w:top w:val="single" w:sz="4" w:space="0" w:color="auto"/>
              <w:left w:val="single" w:sz="4" w:space="0" w:color="auto"/>
              <w:bottom w:val="single" w:sz="4" w:space="0" w:color="auto"/>
              <w:right w:val="single" w:sz="4" w:space="0" w:color="auto"/>
            </w:tcBorders>
          </w:tcPr>
          <w:p w14:paraId="2E688BEF" w14:textId="77777777" w:rsidR="00F26E61" w:rsidRPr="00F97146" w:rsidRDefault="00F26E61" w:rsidP="00407A8E">
            <w:pPr>
              <w:spacing w:line="276" w:lineRule="auto"/>
              <w:ind w:left="-48" w:firstLine="6"/>
              <w:jc w:val="center"/>
              <w:rPr>
                <w:rFonts w:eastAsia="Segoe UI" w:cs="Segoe UI"/>
                <w:iCs w:val="0"/>
                <w:sz w:val="18"/>
                <w:szCs w:val="14"/>
              </w:rPr>
            </w:pPr>
            <w:r w:rsidRPr="00F97146">
              <w:rPr>
                <w:rFonts w:eastAsia="Segoe UI" w:cs="Segoe UI"/>
                <w:iCs w:val="0"/>
                <w:sz w:val="18"/>
                <w:szCs w:val="14"/>
              </w:rPr>
              <w:t>43</w:t>
            </w:r>
          </w:p>
        </w:tc>
        <w:tc>
          <w:tcPr>
            <w:tcW w:w="1106" w:type="dxa"/>
            <w:tcBorders>
              <w:top w:val="single" w:sz="4" w:space="0" w:color="auto"/>
              <w:left w:val="single" w:sz="4" w:space="0" w:color="auto"/>
              <w:bottom w:val="single" w:sz="4" w:space="0" w:color="auto"/>
              <w:right w:val="single" w:sz="4" w:space="0" w:color="auto"/>
            </w:tcBorders>
          </w:tcPr>
          <w:p w14:paraId="7BCD1BE0" w14:textId="77777777" w:rsidR="00F26E61" w:rsidRPr="00F97146" w:rsidRDefault="00F26E61" w:rsidP="00407A8E">
            <w:pPr>
              <w:spacing w:line="276" w:lineRule="auto"/>
              <w:ind w:left="75"/>
              <w:jc w:val="center"/>
              <w:rPr>
                <w:rFonts w:cs="Segoe UI"/>
                <w:iCs w:val="0"/>
                <w:sz w:val="18"/>
                <w:szCs w:val="14"/>
                <w:lang w:val="en-US"/>
              </w:rPr>
            </w:pPr>
            <w:r w:rsidRPr="00F97146">
              <w:rPr>
                <w:rFonts w:eastAsia="Segoe UI" w:cs="Segoe UI"/>
                <w:iCs w:val="0"/>
                <w:sz w:val="18"/>
                <w:szCs w:val="14"/>
              </w:rPr>
              <w:t>Ann II</w:t>
            </w:r>
          </w:p>
        </w:tc>
        <w:tc>
          <w:tcPr>
            <w:tcW w:w="1148" w:type="dxa"/>
            <w:tcBorders>
              <w:top w:val="single" w:sz="4" w:space="0" w:color="auto"/>
              <w:left w:val="single" w:sz="4" w:space="0" w:color="auto"/>
              <w:bottom w:val="single" w:sz="4" w:space="0" w:color="auto"/>
              <w:right w:val="single" w:sz="4" w:space="0" w:color="auto"/>
            </w:tcBorders>
          </w:tcPr>
          <w:p w14:paraId="06B3483B" w14:textId="77777777" w:rsidR="00F26E61" w:rsidRPr="00F97146" w:rsidRDefault="00F26E61" w:rsidP="00407A8E">
            <w:pPr>
              <w:spacing w:before="60"/>
              <w:jc w:val="center"/>
              <w:rPr>
                <w:rFonts w:cs="Segoe UI"/>
                <w:iCs w:val="0"/>
                <w:sz w:val="18"/>
                <w:szCs w:val="14"/>
              </w:rPr>
            </w:pPr>
            <w:r w:rsidRPr="00F97146">
              <w:rPr>
                <w:rFonts w:eastAsia="Segoe UI" w:cs="Segoe UI"/>
                <w:iCs w:val="0"/>
                <w:sz w:val="18"/>
                <w:szCs w:val="14"/>
              </w:rPr>
              <w:t>10</w:t>
            </w:r>
          </w:p>
        </w:tc>
        <w:tc>
          <w:tcPr>
            <w:tcW w:w="1150" w:type="dxa"/>
            <w:tcBorders>
              <w:top w:val="single" w:sz="4" w:space="0" w:color="auto"/>
              <w:left w:val="single" w:sz="4" w:space="0" w:color="auto"/>
              <w:bottom w:val="single" w:sz="4" w:space="0" w:color="auto"/>
              <w:right w:val="single" w:sz="4" w:space="0" w:color="auto"/>
            </w:tcBorders>
          </w:tcPr>
          <w:p w14:paraId="26E6A99F" w14:textId="77777777" w:rsidR="00F26E61" w:rsidRPr="00F97146" w:rsidRDefault="00F26E61" w:rsidP="00407A8E">
            <w:pPr>
              <w:rPr>
                <w:rFonts w:eastAsia="Segoe UI" w:cs="Segoe UI"/>
                <w:iCs w:val="0"/>
                <w:sz w:val="18"/>
                <w:szCs w:val="14"/>
              </w:rPr>
            </w:pPr>
            <w:r w:rsidRPr="00F97146">
              <w:rPr>
                <w:rFonts w:eastAsia="Segoe UI" w:cs="Segoe UI"/>
                <w:iCs w:val="0"/>
                <w:sz w:val="18"/>
                <w:szCs w:val="14"/>
              </w:rPr>
              <w:t>b</w:t>
            </w:r>
          </w:p>
          <w:p w14:paraId="7A05F659" w14:textId="77777777" w:rsidR="00F26E61" w:rsidRPr="00F97146" w:rsidRDefault="00F26E61" w:rsidP="00407A8E">
            <w:pPr>
              <w:jc w:val="center"/>
              <w:rPr>
                <w:rFonts w:eastAsia="Times New Roman" w:cs="Segoe UI"/>
                <w:iCs w:val="0"/>
                <w:sz w:val="18"/>
                <w:szCs w:val="14"/>
                <w:lang w:val="en-US"/>
              </w:rPr>
            </w:pPr>
          </w:p>
        </w:tc>
        <w:tc>
          <w:tcPr>
            <w:tcW w:w="4813" w:type="dxa"/>
            <w:tcBorders>
              <w:top w:val="single" w:sz="4" w:space="0" w:color="auto"/>
              <w:left w:val="single" w:sz="4" w:space="0" w:color="auto"/>
              <w:bottom w:val="single" w:sz="4" w:space="0" w:color="auto"/>
              <w:right w:val="single" w:sz="4" w:space="0" w:color="auto"/>
            </w:tcBorders>
          </w:tcPr>
          <w:p w14:paraId="51C8C05F" w14:textId="77777777" w:rsidR="00F26E61" w:rsidRPr="00F97146" w:rsidRDefault="00F26E61" w:rsidP="00407A8E">
            <w:pPr>
              <w:pStyle w:val="ISOChange"/>
              <w:spacing w:before="60" w:line="240" w:lineRule="auto"/>
              <w:rPr>
                <w:rFonts w:ascii="Aptos" w:hAnsi="Aptos" w:cs="Arial"/>
                <w:sz w:val="18"/>
                <w:szCs w:val="14"/>
              </w:rPr>
            </w:pPr>
            <w:r w:rsidRPr="00F97146">
              <w:rPr>
                <w:rFonts w:ascii="Aptos" w:eastAsia="Segoe UI" w:hAnsi="Aptos" w:cs="Segoe UI"/>
                <w:sz w:val="18"/>
                <w:szCs w:val="14"/>
              </w:rPr>
              <w:t>It is essential to ensure traceability between the tasks and actions outlined in the Performance Evaluation Plan and their implementation in the Performance Evaluation Report; this is critical for demonstrating methodological consistency and regulatory compliance.</w:t>
            </w:r>
          </w:p>
        </w:tc>
        <w:tc>
          <w:tcPr>
            <w:tcW w:w="5251" w:type="dxa"/>
            <w:tcBorders>
              <w:top w:val="single" w:sz="4" w:space="0" w:color="auto"/>
              <w:left w:val="single" w:sz="4" w:space="0" w:color="auto"/>
              <w:bottom w:val="single" w:sz="4" w:space="0" w:color="auto"/>
              <w:right w:val="single" w:sz="4" w:space="0" w:color="auto"/>
            </w:tcBorders>
          </w:tcPr>
          <w:p w14:paraId="1D88E916" w14:textId="77777777" w:rsidR="00F26E61" w:rsidRPr="00F97146" w:rsidRDefault="00F26E61" w:rsidP="00407A8E">
            <w:pPr>
              <w:spacing w:line="276" w:lineRule="auto"/>
              <w:rPr>
                <w:iCs w:val="0"/>
                <w:sz w:val="18"/>
                <w:szCs w:val="14"/>
              </w:rPr>
            </w:pPr>
            <w:r w:rsidRPr="00F97146">
              <w:rPr>
                <w:rFonts w:eastAsia="Segoe UI" w:cs="Segoe UI"/>
                <w:iCs w:val="0"/>
                <w:sz w:val="18"/>
                <w:szCs w:val="14"/>
              </w:rPr>
              <w:t>Team NB proposed text:</w:t>
            </w:r>
          </w:p>
          <w:p w14:paraId="2862AC0A" w14:textId="77777777" w:rsidR="00F26E61" w:rsidRPr="00F97146" w:rsidRDefault="00F26E61" w:rsidP="00F26E61">
            <w:pPr>
              <w:pStyle w:val="Paragraphedeliste"/>
              <w:numPr>
                <w:ilvl w:val="1"/>
                <w:numId w:val="60"/>
              </w:numPr>
              <w:spacing w:after="0" w:line="276" w:lineRule="auto"/>
              <w:ind w:left="372" w:hanging="372"/>
              <w:rPr>
                <w:rFonts w:eastAsia="Segoe UI" w:cs="Segoe UI"/>
                <w:i/>
                <w:sz w:val="18"/>
                <w:szCs w:val="14"/>
              </w:rPr>
            </w:pPr>
            <w:r w:rsidRPr="00F97146">
              <w:rPr>
                <w:rFonts w:eastAsia="Segoe UI" w:cs="Segoe UI"/>
                <w:i/>
                <w:sz w:val="18"/>
                <w:szCs w:val="14"/>
              </w:rPr>
              <w:t>“Performance Evaluation Plan</w:t>
            </w:r>
          </w:p>
          <w:p w14:paraId="6C6EB434" w14:textId="77777777" w:rsidR="00F26E61" w:rsidRPr="00F97146" w:rsidRDefault="00F26E61" w:rsidP="00407A8E">
            <w:pPr>
              <w:spacing w:before="60"/>
              <w:rPr>
                <w:i/>
                <w:sz w:val="18"/>
                <w:szCs w:val="14"/>
              </w:rPr>
            </w:pPr>
            <w:r w:rsidRPr="00F97146">
              <w:rPr>
                <w:rFonts w:eastAsia="Segoe UI" w:cs="Segoe UI"/>
                <w:i/>
                <w:sz w:val="18"/>
                <w:szCs w:val="14"/>
              </w:rPr>
              <w:t>As a general rule, the performance evaluation plan shall include at least:</w:t>
            </w:r>
          </w:p>
          <w:p w14:paraId="6E040E0C" w14:textId="77777777" w:rsidR="00F26E61" w:rsidRPr="00F97146" w:rsidRDefault="00F26E61" w:rsidP="00F26E61">
            <w:pPr>
              <w:pStyle w:val="Paragraphedeliste"/>
              <w:numPr>
                <w:ilvl w:val="0"/>
                <w:numId w:val="97"/>
              </w:numPr>
              <w:spacing w:before="60" w:after="0"/>
              <w:rPr>
                <w:i/>
                <w:sz w:val="18"/>
                <w:szCs w:val="14"/>
              </w:rPr>
            </w:pPr>
            <w:r w:rsidRPr="00F97146">
              <w:rPr>
                <w:rFonts w:eastAsia="Segoe UI" w:cs="Segoe UI"/>
                <w:i/>
                <w:sz w:val="18"/>
                <w:szCs w:val="14"/>
              </w:rPr>
              <w:t>a specification of the intended purpose of the device a specification of the intended purpose of the device as referred to in Section 20.4.1, point (c), of Annex I, including a specification of the analyte or marker to be determined by the device;</w:t>
            </w:r>
          </w:p>
          <w:p w14:paraId="2C9BD693" w14:textId="77777777" w:rsidR="00F26E61" w:rsidRPr="00F97146" w:rsidRDefault="00F26E61" w:rsidP="00F26E61">
            <w:pPr>
              <w:pStyle w:val="Paragraphedeliste"/>
              <w:numPr>
                <w:ilvl w:val="0"/>
                <w:numId w:val="97"/>
              </w:numPr>
              <w:spacing w:before="60" w:after="0"/>
              <w:rPr>
                <w:i/>
                <w:sz w:val="18"/>
                <w:szCs w:val="14"/>
              </w:rPr>
            </w:pPr>
            <w:r w:rsidRPr="00F97146">
              <w:rPr>
                <w:rFonts w:eastAsia="Segoe UI" w:cs="Segoe UI"/>
                <w:i/>
                <w:sz w:val="18"/>
                <w:szCs w:val="14"/>
              </w:rPr>
              <w:lastRenderedPageBreak/>
              <w:t>a specification of the characteristics of the device as described in Section 9 of Chapter II of Annex I and in point (c) of Section 20.4.1. of Chapter III of Annex I a specification of the characteristics of the device as described in Section 9 of Annex I;</w:t>
            </w:r>
          </w:p>
          <w:p w14:paraId="718394C0" w14:textId="77777777" w:rsidR="00F26E61" w:rsidRPr="00F97146" w:rsidRDefault="00F26E61" w:rsidP="00407A8E">
            <w:pPr>
              <w:spacing w:before="60"/>
              <w:rPr>
                <w:i/>
                <w:sz w:val="18"/>
                <w:szCs w:val="14"/>
              </w:rPr>
            </w:pPr>
            <w:r w:rsidRPr="00F97146">
              <w:rPr>
                <w:rFonts w:eastAsia="Segoe UI" w:cs="Segoe UI"/>
                <w:i/>
                <w:sz w:val="18"/>
                <w:szCs w:val="14"/>
              </w:rPr>
              <w:t>(…)</w:t>
            </w:r>
          </w:p>
          <w:p w14:paraId="5FEE714D" w14:textId="77777777" w:rsidR="00F26E61" w:rsidRPr="00F97146" w:rsidRDefault="00F26E61" w:rsidP="00F26E61">
            <w:pPr>
              <w:pStyle w:val="Paragraphedeliste"/>
              <w:numPr>
                <w:ilvl w:val="0"/>
                <w:numId w:val="98"/>
              </w:numPr>
              <w:spacing w:before="60" w:after="0"/>
              <w:rPr>
                <w:i/>
                <w:sz w:val="18"/>
                <w:szCs w:val="14"/>
              </w:rPr>
            </w:pPr>
            <w:r w:rsidRPr="00F97146">
              <w:rPr>
                <w:rFonts w:eastAsia="Segoe UI" w:cs="Segoe UI"/>
                <w:i/>
                <w:color w:val="0A0A0A"/>
                <w:sz w:val="18"/>
                <w:szCs w:val="14"/>
              </w:rPr>
              <w:t xml:space="preserve">a specification of methods </w:t>
            </w:r>
            <w:r w:rsidRPr="00F97146">
              <w:rPr>
                <w:rFonts w:eastAsia="Segoe UI" w:cs="Segoe UI"/>
                <w:b/>
                <w:bCs/>
                <w:i/>
                <w:sz w:val="18"/>
                <w:szCs w:val="14"/>
              </w:rPr>
              <w:t>and aims</w:t>
            </w:r>
            <w:r w:rsidRPr="00F97146">
              <w:rPr>
                <w:rFonts w:eastAsia="Segoe UI" w:cs="Segoe UI"/>
                <w:i/>
                <w:color w:val="0A0A0A"/>
                <w:sz w:val="18"/>
                <w:szCs w:val="14"/>
              </w:rPr>
              <w:t xml:space="preserve">, including </w:t>
            </w:r>
            <w:r w:rsidRPr="00F97146">
              <w:rPr>
                <w:rFonts w:eastAsia="Segoe UI" w:cs="Segoe UI"/>
                <w:b/>
                <w:bCs/>
                <w:i/>
                <w:sz w:val="18"/>
                <w:szCs w:val="14"/>
              </w:rPr>
              <w:t>methods or methodology for identification of existing relevant information (e.g. literature)</w:t>
            </w:r>
            <w:r w:rsidRPr="00F97146">
              <w:rPr>
                <w:rFonts w:eastAsia="Segoe UI" w:cs="Segoe UI"/>
                <w:i/>
                <w:color w:val="0A0A0A"/>
                <w:sz w:val="18"/>
                <w:szCs w:val="14"/>
              </w:rPr>
              <w:t xml:space="preserve"> and the appropriate statistical tools, </w:t>
            </w:r>
            <w:r w:rsidRPr="00F97146">
              <w:rPr>
                <w:rFonts w:eastAsia="Segoe UI" w:cs="Segoe UI"/>
                <w:b/>
                <w:bCs/>
                <w:i/>
                <w:sz w:val="18"/>
                <w:szCs w:val="14"/>
              </w:rPr>
              <w:t>planned to be</w:t>
            </w:r>
            <w:r w:rsidRPr="00F97146">
              <w:rPr>
                <w:rFonts w:eastAsia="Segoe UI" w:cs="Segoe UI"/>
                <w:i/>
                <w:sz w:val="18"/>
                <w:szCs w:val="14"/>
              </w:rPr>
              <w:t xml:space="preserve"> </w:t>
            </w:r>
            <w:r w:rsidRPr="00F97146">
              <w:rPr>
                <w:rFonts w:eastAsia="Segoe UI" w:cs="Segoe UI"/>
                <w:i/>
                <w:color w:val="0A0A0A"/>
                <w:sz w:val="18"/>
                <w:szCs w:val="14"/>
              </w:rPr>
              <w:t xml:space="preserve">used for the examination of the </w:t>
            </w:r>
            <w:r w:rsidRPr="00F97146">
              <w:rPr>
                <w:rFonts w:eastAsia="Segoe UI" w:cs="Segoe UI"/>
                <w:b/>
                <w:bCs/>
                <w:i/>
                <w:sz w:val="18"/>
                <w:szCs w:val="14"/>
              </w:rPr>
              <w:t>scientific validity</w:t>
            </w:r>
            <w:r w:rsidRPr="00F97146">
              <w:rPr>
                <w:rFonts w:eastAsia="Segoe UI" w:cs="Segoe UI"/>
                <w:i/>
                <w:color w:val="0A0A0A"/>
                <w:sz w:val="18"/>
                <w:szCs w:val="14"/>
              </w:rPr>
              <w:t>, analytical and clinical performance of the device and of the limitations of the device and information provided by it</w:t>
            </w:r>
            <w:r w:rsidRPr="00F97146">
              <w:rPr>
                <w:rFonts w:eastAsia="Segoe UI" w:cs="Segoe UI"/>
                <w:i/>
                <w:color w:val="FF0000"/>
                <w:sz w:val="18"/>
                <w:szCs w:val="14"/>
              </w:rPr>
              <w:t xml:space="preserve"> </w:t>
            </w:r>
            <w:r w:rsidRPr="00F97146">
              <w:rPr>
                <w:rFonts w:eastAsia="Segoe UI" w:cs="Segoe UI"/>
                <w:b/>
                <w:bCs/>
                <w:i/>
                <w:sz w:val="18"/>
                <w:szCs w:val="14"/>
              </w:rPr>
              <w:t>in dedicated sections for planning of SV, AP and CP</w:t>
            </w:r>
          </w:p>
          <w:p w14:paraId="597D7202" w14:textId="77777777" w:rsidR="00F26E61" w:rsidRPr="00F97146" w:rsidRDefault="00F26E61" w:rsidP="00407A8E">
            <w:pPr>
              <w:spacing w:line="276" w:lineRule="auto"/>
              <w:rPr>
                <w:rFonts w:eastAsia="Segoe UI" w:cs="Segoe UI"/>
                <w:i/>
                <w:sz w:val="18"/>
                <w:szCs w:val="14"/>
              </w:rPr>
            </w:pPr>
          </w:p>
          <w:p w14:paraId="3C8BAB2A" w14:textId="77777777" w:rsidR="00F26E61" w:rsidRPr="00F97146" w:rsidRDefault="00F26E61" w:rsidP="00407A8E">
            <w:pPr>
              <w:spacing w:line="276" w:lineRule="auto"/>
              <w:rPr>
                <w:i/>
                <w:sz w:val="18"/>
                <w:szCs w:val="14"/>
              </w:rPr>
            </w:pPr>
            <w:r w:rsidRPr="00F97146">
              <w:rPr>
                <w:rFonts w:eastAsia="Segoe UI" w:cs="Segoe UI"/>
                <w:i/>
                <w:sz w:val="18"/>
                <w:szCs w:val="14"/>
              </w:rPr>
              <w:t>1.2.1. Demonstration of Scientific Validity</w:t>
            </w:r>
          </w:p>
          <w:p w14:paraId="55324E70" w14:textId="77777777" w:rsidR="00F26E61" w:rsidRPr="00F97146" w:rsidRDefault="00F26E61" w:rsidP="00407A8E">
            <w:pPr>
              <w:spacing w:line="276" w:lineRule="auto"/>
              <w:rPr>
                <w:rFonts w:eastAsia="Segoe UI" w:cs="Segoe UI"/>
                <w:b/>
                <w:bCs/>
                <w:i/>
                <w:sz w:val="18"/>
                <w:szCs w:val="14"/>
              </w:rPr>
            </w:pPr>
            <w:r w:rsidRPr="00F97146">
              <w:rPr>
                <w:rFonts w:eastAsia="Segoe UI" w:cs="Segoe UI"/>
                <w:i/>
                <w:sz w:val="18"/>
                <w:szCs w:val="14"/>
              </w:rPr>
              <w:t xml:space="preserve">The scientific validity of the analyte or marker shall be demonstrated and documented in a dedicated section of the performance evaluation report </w:t>
            </w:r>
            <w:r w:rsidRPr="00F97146">
              <w:rPr>
                <w:rFonts w:eastAsia="Segoe UI" w:cs="Segoe UI"/>
                <w:b/>
                <w:bCs/>
                <w:i/>
                <w:sz w:val="18"/>
                <w:szCs w:val="14"/>
              </w:rPr>
              <w:t>in accordance to the outlined aims and methods for scientific validity demonstration in the PEP as referred to in Annex XIII, Part A 1.1.</w:t>
            </w:r>
          </w:p>
          <w:p w14:paraId="05F7F2E9" w14:textId="77777777" w:rsidR="00F26E61" w:rsidRPr="00F97146" w:rsidRDefault="00F26E61" w:rsidP="00407A8E">
            <w:pPr>
              <w:spacing w:line="276" w:lineRule="auto"/>
              <w:rPr>
                <w:b/>
                <w:bCs/>
                <w:i/>
                <w:sz w:val="18"/>
                <w:szCs w:val="14"/>
              </w:rPr>
            </w:pPr>
          </w:p>
          <w:p w14:paraId="142E8E6B" w14:textId="77777777" w:rsidR="00F26E61" w:rsidRPr="00F97146" w:rsidRDefault="00F26E61" w:rsidP="00407A8E">
            <w:pPr>
              <w:spacing w:line="276" w:lineRule="auto"/>
              <w:rPr>
                <w:i/>
                <w:sz w:val="18"/>
                <w:szCs w:val="14"/>
              </w:rPr>
            </w:pPr>
            <w:r w:rsidRPr="00F97146">
              <w:rPr>
                <w:rFonts w:eastAsia="Segoe UI" w:cs="Segoe UI"/>
                <w:i/>
                <w:sz w:val="18"/>
                <w:szCs w:val="14"/>
              </w:rPr>
              <w:t>1.2.2 Demonstration of the analytical performance</w:t>
            </w:r>
          </w:p>
          <w:p w14:paraId="591A5412" w14:textId="77777777" w:rsidR="00F26E61" w:rsidRPr="00F97146" w:rsidRDefault="00F26E61" w:rsidP="00407A8E">
            <w:pPr>
              <w:spacing w:line="276" w:lineRule="auto"/>
              <w:rPr>
                <w:rFonts w:eastAsia="Segoe UI" w:cs="Segoe UI"/>
                <w:b/>
                <w:bCs/>
                <w:i/>
                <w:sz w:val="18"/>
                <w:szCs w:val="14"/>
              </w:rPr>
            </w:pPr>
            <w:r w:rsidRPr="00F97146">
              <w:rPr>
                <w:rFonts w:eastAsia="Segoe UI" w:cs="Segoe UI"/>
                <w:i/>
                <w:sz w:val="18"/>
                <w:szCs w:val="14"/>
              </w:rPr>
              <w:t xml:space="preserve">Analytical performance shall be demonstrated and documented in a dedicated section of the performance evaluation report, </w:t>
            </w:r>
            <w:r w:rsidRPr="00F97146">
              <w:rPr>
                <w:rFonts w:eastAsia="Segoe UI" w:cs="Segoe UI"/>
                <w:b/>
                <w:bCs/>
                <w:i/>
                <w:sz w:val="18"/>
                <w:szCs w:val="14"/>
              </w:rPr>
              <w:t>in accordance to the outlined aims and methods for analytical performance demonstration in the PEP as referred to in Annex XIII, Part A 1.1.</w:t>
            </w:r>
          </w:p>
          <w:p w14:paraId="62180F07" w14:textId="77777777" w:rsidR="00F26E61" w:rsidRPr="00F97146" w:rsidRDefault="00F26E61" w:rsidP="00407A8E">
            <w:pPr>
              <w:spacing w:line="276" w:lineRule="auto"/>
              <w:rPr>
                <w:i/>
                <w:sz w:val="18"/>
                <w:szCs w:val="14"/>
              </w:rPr>
            </w:pPr>
          </w:p>
          <w:p w14:paraId="50056D3D" w14:textId="77777777" w:rsidR="00F26E61" w:rsidRPr="00F97146" w:rsidRDefault="00F26E61" w:rsidP="00407A8E">
            <w:pPr>
              <w:spacing w:line="276" w:lineRule="auto"/>
              <w:rPr>
                <w:i/>
                <w:sz w:val="18"/>
                <w:szCs w:val="14"/>
              </w:rPr>
            </w:pPr>
            <w:r w:rsidRPr="00F97146">
              <w:rPr>
                <w:rFonts w:eastAsia="Segoe UI" w:cs="Segoe UI"/>
                <w:i/>
                <w:sz w:val="18"/>
                <w:szCs w:val="14"/>
              </w:rPr>
              <w:t>1.2.3.</w:t>
            </w:r>
            <w:r w:rsidRPr="00F97146">
              <w:rPr>
                <w:rFonts w:eastAsia="Segoe UI" w:cs="Segoe UI"/>
                <w:i/>
                <w:color w:val="000000" w:themeColor="text1"/>
                <w:sz w:val="18"/>
                <w:szCs w:val="14"/>
              </w:rPr>
              <w:t xml:space="preserve"> </w:t>
            </w:r>
            <w:r w:rsidRPr="00F97146">
              <w:rPr>
                <w:rFonts w:eastAsia="Segoe UI" w:cs="Segoe UI"/>
                <w:i/>
                <w:sz w:val="18"/>
                <w:szCs w:val="14"/>
              </w:rPr>
              <w:t>Demonstration of clinical performance</w:t>
            </w:r>
          </w:p>
          <w:p w14:paraId="7B3C9400" w14:textId="77777777" w:rsidR="00F26E61" w:rsidRPr="00F97146" w:rsidRDefault="00F26E61" w:rsidP="00407A8E">
            <w:pPr>
              <w:pStyle w:val="ISOChange"/>
              <w:spacing w:line="240" w:lineRule="auto"/>
              <w:rPr>
                <w:rFonts w:ascii="Aptos" w:hAnsi="Aptos" w:cs="Segoe UI"/>
                <w:i/>
                <w:iCs/>
                <w:sz w:val="18"/>
                <w:szCs w:val="14"/>
              </w:rPr>
            </w:pPr>
            <w:r w:rsidRPr="00F97146">
              <w:rPr>
                <w:rFonts w:ascii="Aptos" w:eastAsia="Segoe UI" w:hAnsi="Aptos" w:cs="Segoe UI"/>
                <w:i/>
                <w:iCs/>
                <w:sz w:val="18"/>
                <w:szCs w:val="14"/>
              </w:rPr>
              <w:t xml:space="preserve">Clinical performance studies shall be performed unless due justification is provided for relying on other sources of clinical performance data. Clinical performance shall be demonstrated and documented in a dedicated section of the performance evaluation report, </w:t>
            </w:r>
            <w:r w:rsidRPr="00F97146">
              <w:rPr>
                <w:rFonts w:ascii="Aptos" w:eastAsia="Segoe UI" w:hAnsi="Aptos" w:cs="Segoe UI"/>
                <w:b/>
                <w:bCs/>
                <w:i/>
                <w:iCs/>
                <w:sz w:val="18"/>
                <w:szCs w:val="14"/>
              </w:rPr>
              <w:t>in</w:t>
            </w:r>
            <w:r w:rsidRPr="00F97146">
              <w:rPr>
                <w:rFonts w:ascii="Aptos" w:eastAsia="Arial" w:hAnsi="Aptos" w:cs="Arial"/>
                <w:b/>
                <w:bCs/>
                <w:i/>
                <w:iCs/>
                <w:sz w:val="18"/>
                <w:szCs w:val="14"/>
              </w:rPr>
              <w:t xml:space="preserve"> </w:t>
            </w:r>
            <w:r w:rsidRPr="00F97146">
              <w:rPr>
                <w:rFonts w:ascii="Aptos" w:eastAsia="Segoe UI" w:hAnsi="Aptos" w:cs="Segoe UI"/>
                <w:b/>
                <w:bCs/>
                <w:i/>
                <w:iCs/>
                <w:sz w:val="18"/>
                <w:szCs w:val="14"/>
              </w:rPr>
              <w:t>accordance to the outlined aims and methods for clinical performance demonstration in the PEP as referred to in Annex XIII, Part A 1.1.”</w:t>
            </w:r>
          </w:p>
        </w:tc>
      </w:tr>
      <w:tr w:rsidR="00F26E61" w:rsidRPr="00F97146" w14:paraId="28182738" w14:textId="77777777" w:rsidTr="0022597C">
        <w:trPr>
          <w:trHeight w:val="324"/>
        </w:trPr>
        <w:tc>
          <w:tcPr>
            <w:tcW w:w="568" w:type="dxa"/>
          </w:tcPr>
          <w:p w14:paraId="41E19066" w14:textId="77777777" w:rsidR="00F26E61" w:rsidRPr="00F97146" w:rsidRDefault="00F26E61" w:rsidP="00407A8E">
            <w:pPr>
              <w:spacing w:line="276" w:lineRule="auto"/>
              <w:ind w:left="-48" w:firstLine="6"/>
              <w:jc w:val="center"/>
              <w:rPr>
                <w:rFonts w:eastAsia="Segoe UI" w:cs="Segoe UI"/>
                <w:iCs w:val="0"/>
                <w:sz w:val="18"/>
                <w:szCs w:val="14"/>
              </w:rPr>
            </w:pPr>
            <w:r w:rsidRPr="00F97146">
              <w:rPr>
                <w:rFonts w:eastAsia="Segoe UI" w:cs="Segoe UI"/>
                <w:iCs w:val="0"/>
                <w:sz w:val="18"/>
                <w:szCs w:val="14"/>
              </w:rPr>
              <w:lastRenderedPageBreak/>
              <w:t>64</w:t>
            </w:r>
          </w:p>
        </w:tc>
        <w:tc>
          <w:tcPr>
            <w:tcW w:w="1132" w:type="dxa"/>
            <w:tcBorders>
              <w:top w:val="single" w:sz="4" w:space="0" w:color="auto"/>
              <w:left w:val="single" w:sz="4" w:space="0" w:color="auto"/>
              <w:bottom w:val="single" w:sz="4" w:space="0" w:color="auto"/>
              <w:right w:val="single" w:sz="4" w:space="0" w:color="auto"/>
            </w:tcBorders>
          </w:tcPr>
          <w:p w14:paraId="056D663C" w14:textId="77777777" w:rsidR="00F26E61" w:rsidRPr="00F97146" w:rsidRDefault="00F26E61" w:rsidP="00407A8E">
            <w:pPr>
              <w:spacing w:line="276" w:lineRule="auto"/>
              <w:ind w:left="-48" w:firstLine="6"/>
              <w:jc w:val="center"/>
              <w:rPr>
                <w:rFonts w:eastAsia="Segoe UI" w:cs="Segoe UI"/>
                <w:iCs w:val="0"/>
                <w:sz w:val="18"/>
                <w:szCs w:val="14"/>
              </w:rPr>
            </w:pPr>
            <w:r w:rsidRPr="00F97146">
              <w:rPr>
                <w:rFonts w:eastAsia="Segoe UI" w:cs="Segoe UI"/>
                <w:iCs w:val="0"/>
                <w:sz w:val="18"/>
                <w:szCs w:val="14"/>
              </w:rPr>
              <w:t>43</w:t>
            </w:r>
          </w:p>
        </w:tc>
        <w:tc>
          <w:tcPr>
            <w:tcW w:w="1106" w:type="dxa"/>
            <w:tcBorders>
              <w:top w:val="single" w:sz="4" w:space="0" w:color="auto"/>
              <w:left w:val="single" w:sz="4" w:space="0" w:color="auto"/>
              <w:bottom w:val="single" w:sz="4" w:space="0" w:color="auto"/>
              <w:right w:val="single" w:sz="4" w:space="0" w:color="auto"/>
            </w:tcBorders>
          </w:tcPr>
          <w:p w14:paraId="50F7C2B8" w14:textId="77777777" w:rsidR="00F26E61" w:rsidRPr="00F97146" w:rsidRDefault="00F26E61" w:rsidP="00407A8E">
            <w:pPr>
              <w:spacing w:line="276" w:lineRule="auto"/>
              <w:ind w:left="75"/>
              <w:jc w:val="center"/>
              <w:rPr>
                <w:rFonts w:cs="Segoe UI"/>
                <w:iCs w:val="0"/>
                <w:sz w:val="18"/>
                <w:szCs w:val="14"/>
                <w:lang w:val="en-US"/>
              </w:rPr>
            </w:pPr>
            <w:r w:rsidRPr="00F97146">
              <w:rPr>
                <w:rFonts w:eastAsia="Segoe UI" w:cs="Segoe UI"/>
                <w:iCs w:val="0"/>
                <w:sz w:val="18"/>
                <w:szCs w:val="14"/>
              </w:rPr>
              <w:t>Ann II</w:t>
            </w:r>
          </w:p>
        </w:tc>
        <w:tc>
          <w:tcPr>
            <w:tcW w:w="1148" w:type="dxa"/>
            <w:tcBorders>
              <w:top w:val="single" w:sz="4" w:space="0" w:color="auto"/>
              <w:left w:val="single" w:sz="4" w:space="0" w:color="auto"/>
              <w:bottom w:val="single" w:sz="4" w:space="0" w:color="auto"/>
              <w:right w:val="single" w:sz="4" w:space="0" w:color="auto"/>
            </w:tcBorders>
          </w:tcPr>
          <w:p w14:paraId="4BF5EC27" w14:textId="77777777" w:rsidR="00F26E61" w:rsidRPr="00F97146" w:rsidRDefault="00F26E61" w:rsidP="00407A8E">
            <w:pPr>
              <w:spacing w:before="60"/>
              <w:jc w:val="center"/>
              <w:rPr>
                <w:rFonts w:cs="Segoe UI"/>
                <w:iCs w:val="0"/>
                <w:sz w:val="18"/>
                <w:szCs w:val="14"/>
              </w:rPr>
            </w:pPr>
            <w:r w:rsidRPr="00F97146">
              <w:rPr>
                <w:rFonts w:eastAsia="Segoe UI" w:cs="Segoe UI"/>
                <w:iCs w:val="0"/>
                <w:sz w:val="18"/>
                <w:szCs w:val="14"/>
              </w:rPr>
              <w:t>10</w:t>
            </w:r>
          </w:p>
        </w:tc>
        <w:tc>
          <w:tcPr>
            <w:tcW w:w="1150" w:type="dxa"/>
            <w:tcBorders>
              <w:top w:val="single" w:sz="4" w:space="0" w:color="auto"/>
              <w:left w:val="single" w:sz="4" w:space="0" w:color="auto"/>
              <w:bottom w:val="single" w:sz="4" w:space="0" w:color="auto"/>
              <w:right w:val="single" w:sz="4" w:space="0" w:color="auto"/>
            </w:tcBorders>
          </w:tcPr>
          <w:p w14:paraId="34716FCE" w14:textId="77777777" w:rsidR="00F26E61" w:rsidRPr="00F97146" w:rsidRDefault="00F26E61" w:rsidP="00407A8E">
            <w:pPr>
              <w:jc w:val="center"/>
              <w:rPr>
                <w:rFonts w:eastAsia="Times New Roman" w:cs="Segoe UI"/>
                <w:iCs w:val="0"/>
                <w:sz w:val="18"/>
                <w:szCs w:val="14"/>
                <w:lang w:val="en-US"/>
              </w:rPr>
            </w:pPr>
            <w:r w:rsidRPr="00F97146">
              <w:rPr>
                <w:rFonts w:eastAsia="Segoe UI" w:cs="Segoe UI"/>
                <w:iCs w:val="0"/>
                <w:sz w:val="18"/>
                <w:szCs w:val="14"/>
              </w:rPr>
              <w:t>b</w:t>
            </w:r>
          </w:p>
        </w:tc>
        <w:tc>
          <w:tcPr>
            <w:tcW w:w="4813" w:type="dxa"/>
            <w:tcBorders>
              <w:top w:val="single" w:sz="4" w:space="0" w:color="auto"/>
              <w:left w:val="single" w:sz="4" w:space="0" w:color="auto"/>
              <w:bottom w:val="single" w:sz="4" w:space="0" w:color="auto"/>
              <w:right w:val="single" w:sz="4" w:space="0" w:color="auto"/>
            </w:tcBorders>
          </w:tcPr>
          <w:p w14:paraId="7EDB114B" w14:textId="77777777" w:rsidR="00F26E61" w:rsidRPr="00F97146" w:rsidRDefault="00F26E61" w:rsidP="00407A8E">
            <w:pPr>
              <w:spacing w:before="60"/>
              <w:rPr>
                <w:iCs w:val="0"/>
                <w:sz w:val="18"/>
                <w:szCs w:val="14"/>
              </w:rPr>
            </w:pPr>
            <w:r w:rsidRPr="00F97146">
              <w:rPr>
                <w:rFonts w:eastAsia="Segoe UI" w:cs="Segoe UI"/>
                <w:iCs w:val="0"/>
                <w:sz w:val="18"/>
                <w:szCs w:val="14"/>
              </w:rPr>
              <w:t>It would be beneficial to clarify the type of devices for which computational modelling and in silico testing can be used to support performance data.</w:t>
            </w:r>
          </w:p>
          <w:p w14:paraId="353353D2" w14:textId="77777777" w:rsidR="00F26E61" w:rsidRPr="00F97146" w:rsidRDefault="00F26E61" w:rsidP="00407A8E">
            <w:pPr>
              <w:pStyle w:val="ISOChange"/>
              <w:spacing w:before="60" w:line="240" w:lineRule="auto"/>
              <w:rPr>
                <w:rFonts w:ascii="Aptos" w:hAnsi="Aptos" w:cs="Arial"/>
                <w:sz w:val="18"/>
                <w:szCs w:val="14"/>
              </w:rPr>
            </w:pPr>
          </w:p>
        </w:tc>
        <w:tc>
          <w:tcPr>
            <w:tcW w:w="5251" w:type="dxa"/>
            <w:tcBorders>
              <w:top w:val="single" w:sz="4" w:space="0" w:color="auto"/>
              <w:left w:val="single" w:sz="4" w:space="0" w:color="auto"/>
              <w:bottom w:val="single" w:sz="4" w:space="0" w:color="auto"/>
              <w:right w:val="single" w:sz="4" w:space="0" w:color="auto"/>
            </w:tcBorders>
          </w:tcPr>
          <w:p w14:paraId="0D237695" w14:textId="77777777" w:rsidR="00F26E61" w:rsidRPr="00F97146" w:rsidRDefault="00F26E61" w:rsidP="00407A8E">
            <w:pPr>
              <w:spacing w:before="60"/>
              <w:rPr>
                <w:rFonts w:eastAsia="Segoe UI" w:cs="Segoe UI"/>
                <w:iCs w:val="0"/>
                <w:sz w:val="18"/>
                <w:szCs w:val="14"/>
              </w:rPr>
            </w:pPr>
            <w:r w:rsidRPr="00F97146">
              <w:rPr>
                <w:rFonts w:eastAsia="Segoe UI" w:cs="Segoe UI"/>
                <w:iCs w:val="0"/>
                <w:sz w:val="18"/>
                <w:szCs w:val="14"/>
              </w:rPr>
              <w:t>Team NB proposed text:</w:t>
            </w:r>
          </w:p>
          <w:p w14:paraId="2488FD0F" w14:textId="77777777" w:rsidR="00F26E61" w:rsidRPr="00F97146" w:rsidRDefault="00F26E61" w:rsidP="00407A8E">
            <w:pPr>
              <w:spacing w:before="60"/>
              <w:rPr>
                <w:i/>
                <w:sz w:val="18"/>
                <w:szCs w:val="14"/>
              </w:rPr>
            </w:pPr>
            <w:r w:rsidRPr="00F97146">
              <w:rPr>
                <w:rFonts w:eastAsia="Segoe UI" w:cs="Segoe UI"/>
                <w:iCs w:val="0"/>
                <w:sz w:val="18"/>
                <w:szCs w:val="14"/>
              </w:rPr>
              <w:t>“</w:t>
            </w:r>
            <w:r w:rsidRPr="00F97146">
              <w:rPr>
                <w:rFonts w:eastAsia="Segoe UI" w:cs="Segoe UI"/>
                <w:i/>
                <w:sz w:val="18"/>
                <w:szCs w:val="14"/>
              </w:rPr>
              <w:t>1.2. Demonstration of the scientific validity and the analytical and clinical performance:</w:t>
            </w:r>
          </w:p>
          <w:p w14:paraId="3660F481" w14:textId="77777777" w:rsidR="00F26E61" w:rsidRPr="00F97146" w:rsidRDefault="00F26E61" w:rsidP="00407A8E">
            <w:pPr>
              <w:spacing w:before="60"/>
              <w:rPr>
                <w:i/>
                <w:sz w:val="18"/>
                <w:szCs w:val="14"/>
              </w:rPr>
            </w:pPr>
            <w:r w:rsidRPr="00F97146">
              <w:rPr>
                <w:rFonts w:eastAsia="Segoe UI" w:cs="Segoe UI"/>
                <w:i/>
                <w:sz w:val="18"/>
                <w:szCs w:val="14"/>
              </w:rPr>
              <w:t>As a general methodological principle the manufacturer shall:</w:t>
            </w:r>
          </w:p>
          <w:p w14:paraId="4090BA5A" w14:textId="77777777" w:rsidR="00F26E61" w:rsidRPr="00F97146" w:rsidRDefault="00F26E61" w:rsidP="00407A8E">
            <w:pPr>
              <w:spacing w:before="60"/>
              <w:rPr>
                <w:i/>
                <w:sz w:val="18"/>
                <w:szCs w:val="14"/>
              </w:rPr>
            </w:pPr>
            <w:r w:rsidRPr="00F97146">
              <w:rPr>
                <w:rFonts w:eastAsia="Segoe UI" w:cs="Segoe UI"/>
                <w:i/>
                <w:sz w:val="18"/>
                <w:szCs w:val="14"/>
              </w:rPr>
              <w:t>(…)</w:t>
            </w:r>
          </w:p>
          <w:p w14:paraId="0B49DF19" w14:textId="77777777" w:rsidR="00F26E61" w:rsidRPr="00F97146" w:rsidRDefault="00F26E61" w:rsidP="00F26E61">
            <w:pPr>
              <w:pStyle w:val="Paragraphedeliste"/>
              <w:numPr>
                <w:ilvl w:val="0"/>
                <w:numId w:val="98"/>
              </w:numPr>
              <w:spacing w:before="60" w:after="0"/>
              <w:rPr>
                <w:i/>
                <w:sz w:val="18"/>
                <w:szCs w:val="14"/>
              </w:rPr>
            </w:pPr>
            <w:r w:rsidRPr="00F97146">
              <w:rPr>
                <w:rFonts w:eastAsia="Segoe UI" w:cs="Segoe UI"/>
                <w:i/>
                <w:sz w:val="18"/>
                <w:szCs w:val="14"/>
              </w:rPr>
              <w:t xml:space="preserve">generate any new or additional data necessary to address outstanding issues; where appropriate </w:t>
            </w:r>
            <w:r w:rsidRPr="00F97146">
              <w:rPr>
                <w:rFonts w:eastAsia="Segoe UI" w:cs="Segoe UI"/>
                <w:b/>
                <w:bCs/>
                <w:i/>
                <w:sz w:val="18"/>
                <w:szCs w:val="14"/>
              </w:rPr>
              <w:t xml:space="preserve">(e.g. for Breakthrough, Novel and Orphan devices) </w:t>
            </w:r>
            <w:r w:rsidRPr="00F97146">
              <w:rPr>
                <w:rFonts w:eastAsia="Segoe UI" w:cs="Segoe UI"/>
                <w:i/>
                <w:sz w:val="18"/>
                <w:szCs w:val="14"/>
              </w:rPr>
              <w:t>this may be supported by computational modelling and in silico testing.”</w:t>
            </w:r>
          </w:p>
          <w:p w14:paraId="2C0071BD" w14:textId="77777777" w:rsidR="00F26E61" w:rsidRPr="00F97146" w:rsidRDefault="00F26E61" w:rsidP="00407A8E">
            <w:pPr>
              <w:pStyle w:val="ISOChange"/>
              <w:spacing w:before="60" w:line="240" w:lineRule="auto"/>
              <w:rPr>
                <w:rFonts w:ascii="Aptos" w:hAnsi="Aptos" w:cs="Segoe UI"/>
                <w:sz w:val="18"/>
                <w:szCs w:val="14"/>
              </w:rPr>
            </w:pPr>
          </w:p>
        </w:tc>
      </w:tr>
      <w:tr w:rsidR="00F26E61" w:rsidRPr="00F97146" w14:paraId="68F5D4E3" w14:textId="77777777" w:rsidTr="0022597C">
        <w:trPr>
          <w:trHeight w:val="324"/>
        </w:trPr>
        <w:tc>
          <w:tcPr>
            <w:tcW w:w="568" w:type="dxa"/>
          </w:tcPr>
          <w:p w14:paraId="41A554BA" w14:textId="77777777" w:rsidR="00F26E61" w:rsidRPr="00F97146" w:rsidRDefault="00F26E61" w:rsidP="00407A8E">
            <w:pPr>
              <w:spacing w:line="276" w:lineRule="auto"/>
              <w:ind w:left="-48" w:firstLine="6"/>
              <w:jc w:val="center"/>
              <w:rPr>
                <w:rFonts w:eastAsia="Segoe UI" w:cs="Segoe UI"/>
                <w:iCs w:val="0"/>
                <w:sz w:val="18"/>
                <w:szCs w:val="14"/>
              </w:rPr>
            </w:pPr>
            <w:r w:rsidRPr="00F97146">
              <w:rPr>
                <w:rFonts w:eastAsia="Segoe UI" w:cs="Segoe UI"/>
                <w:iCs w:val="0"/>
                <w:sz w:val="18"/>
                <w:szCs w:val="14"/>
              </w:rPr>
              <w:t>65</w:t>
            </w:r>
          </w:p>
        </w:tc>
        <w:tc>
          <w:tcPr>
            <w:tcW w:w="1132" w:type="dxa"/>
            <w:tcBorders>
              <w:top w:val="single" w:sz="4" w:space="0" w:color="auto"/>
              <w:left w:val="single" w:sz="4" w:space="0" w:color="auto"/>
              <w:bottom w:val="single" w:sz="4" w:space="0" w:color="auto"/>
              <w:right w:val="single" w:sz="4" w:space="0" w:color="auto"/>
            </w:tcBorders>
          </w:tcPr>
          <w:p w14:paraId="7EB0450C" w14:textId="77777777" w:rsidR="00F26E61" w:rsidRPr="00F97146" w:rsidRDefault="00F26E61" w:rsidP="00407A8E">
            <w:pPr>
              <w:spacing w:line="276" w:lineRule="auto"/>
              <w:ind w:left="-48" w:firstLine="6"/>
              <w:jc w:val="center"/>
              <w:rPr>
                <w:rFonts w:eastAsia="Segoe UI" w:cs="Segoe UI"/>
                <w:iCs w:val="0"/>
                <w:sz w:val="18"/>
                <w:szCs w:val="14"/>
              </w:rPr>
            </w:pPr>
            <w:r w:rsidRPr="00F97146">
              <w:rPr>
                <w:rFonts w:eastAsia="Segoe UI" w:cs="Segoe UI"/>
                <w:iCs w:val="0"/>
                <w:sz w:val="18"/>
                <w:szCs w:val="14"/>
              </w:rPr>
              <w:t>43</w:t>
            </w:r>
          </w:p>
        </w:tc>
        <w:tc>
          <w:tcPr>
            <w:tcW w:w="1106" w:type="dxa"/>
            <w:tcBorders>
              <w:top w:val="single" w:sz="4" w:space="0" w:color="auto"/>
              <w:left w:val="single" w:sz="4" w:space="0" w:color="auto"/>
              <w:bottom w:val="single" w:sz="4" w:space="0" w:color="auto"/>
              <w:right w:val="single" w:sz="4" w:space="0" w:color="auto"/>
            </w:tcBorders>
          </w:tcPr>
          <w:p w14:paraId="4B55E9A0" w14:textId="77777777" w:rsidR="00F26E61" w:rsidRPr="00F97146" w:rsidRDefault="00F26E61" w:rsidP="00407A8E">
            <w:pPr>
              <w:spacing w:line="276" w:lineRule="auto"/>
              <w:ind w:left="75"/>
              <w:jc w:val="center"/>
              <w:rPr>
                <w:rFonts w:cs="Segoe UI"/>
                <w:iCs w:val="0"/>
                <w:sz w:val="18"/>
                <w:szCs w:val="14"/>
                <w:lang w:val="en-US"/>
              </w:rPr>
            </w:pPr>
            <w:r w:rsidRPr="00F97146">
              <w:rPr>
                <w:rFonts w:eastAsia="Segoe UI" w:cs="Segoe UI"/>
                <w:iCs w:val="0"/>
                <w:sz w:val="18"/>
                <w:szCs w:val="14"/>
              </w:rPr>
              <w:t>Ann II</w:t>
            </w:r>
          </w:p>
        </w:tc>
        <w:tc>
          <w:tcPr>
            <w:tcW w:w="1148" w:type="dxa"/>
            <w:tcBorders>
              <w:top w:val="single" w:sz="4" w:space="0" w:color="auto"/>
              <w:left w:val="single" w:sz="4" w:space="0" w:color="auto"/>
              <w:bottom w:val="single" w:sz="4" w:space="0" w:color="auto"/>
              <w:right w:val="single" w:sz="4" w:space="0" w:color="auto"/>
            </w:tcBorders>
          </w:tcPr>
          <w:p w14:paraId="39F07A2A" w14:textId="77777777" w:rsidR="00F26E61" w:rsidRPr="00F97146" w:rsidRDefault="00F26E61" w:rsidP="00407A8E">
            <w:pPr>
              <w:spacing w:before="60"/>
              <w:jc w:val="center"/>
              <w:rPr>
                <w:iCs w:val="0"/>
                <w:sz w:val="18"/>
                <w:szCs w:val="14"/>
              </w:rPr>
            </w:pPr>
            <w:r w:rsidRPr="00F97146">
              <w:rPr>
                <w:rFonts w:eastAsia="Segoe UI" w:cs="Segoe UI"/>
                <w:iCs w:val="0"/>
                <w:sz w:val="18"/>
                <w:szCs w:val="14"/>
              </w:rPr>
              <w:t>10</w:t>
            </w:r>
          </w:p>
          <w:p w14:paraId="598B6B55" w14:textId="77777777" w:rsidR="00F26E61" w:rsidRPr="00F97146" w:rsidRDefault="00F26E61" w:rsidP="00407A8E">
            <w:pPr>
              <w:spacing w:before="60"/>
              <w:jc w:val="center"/>
              <w:rPr>
                <w:rFonts w:cs="Segoe UI"/>
                <w:iCs w:val="0"/>
                <w:sz w:val="18"/>
                <w:szCs w:val="14"/>
              </w:rPr>
            </w:pPr>
          </w:p>
        </w:tc>
        <w:tc>
          <w:tcPr>
            <w:tcW w:w="1150" w:type="dxa"/>
            <w:tcBorders>
              <w:top w:val="single" w:sz="4" w:space="0" w:color="auto"/>
              <w:left w:val="single" w:sz="4" w:space="0" w:color="auto"/>
              <w:bottom w:val="single" w:sz="4" w:space="0" w:color="auto"/>
              <w:right w:val="single" w:sz="4" w:space="0" w:color="auto"/>
            </w:tcBorders>
          </w:tcPr>
          <w:p w14:paraId="54A1800F" w14:textId="77777777" w:rsidR="00F26E61" w:rsidRPr="00F97146" w:rsidRDefault="00F26E61" w:rsidP="00407A8E">
            <w:pPr>
              <w:jc w:val="center"/>
              <w:rPr>
                <w:rFonts w:eastAsia="Times New Roman" w:cs="Segoe UI"/>
                <w:iCs w:val="0"/>
                <w:sz w:val="18"/>
                <w:szCs w:val="14"/>
                <w:lang w:val="en-US"/>
              </w:rPr>
            </w:pPr>
            <w:r w:rsidRPr="00F97146">
              <w:rPr>
                <w:rFonts w:eastAsia="Segoe UI" w:cs="Segoe UI"/>
                <w:iCs w:val="0"/>
                <w:sz w:val="18"/>
                <w:szCs w:val="14"/>
              </w:rPr>
              <w:t>e</w:t>
            </w:r>
          </w:p>
        </w:tc>
        <w:tc>
          <w:tcPr>
            <w:tcW w:w="4813" w:type="dxa"/>
            <w:tcBorders>
              <w:top w:val="single" w:sz="4" w:space="0" w:color="auto"/>
              <w:left w:val="single" w:sz="4" w:space="0" w:color="auto"/>
              <w:bottom w:val="single" w:sz="4" w:space="0" w:color="auto"/>
              <w:right w:val="single" w:sz="4" w:space="0" w:color="auto"/>
            </w:tcBorders>
          </w:tcPr>
          <w:p w14:paraId="52BA93AB" w14:textId="77777777" w:rsidR="00F26E61" w:rsidRPr="00F97146" w:rsidRDefault="00F26E61" w:rsidP="00407A8E">
            <w:pPr>
              <w:pStyle w:val="ISOChange"/>
              <w:spacing w:before="60" w:line="240" w:lineRule="auto"/>
              <w:rPr>
                <w:rFonts w:ascii="Aptos" w:hAnsi="Aptos" w:cs="Arial"/>
                <w:sz w:val="18"/>
                <w:szCs w:val="14"/>
              </w:rPr>
            </w:pPr>
            <w:r w:rsidRPr="00F97146">
              <w:rPr>
                <w:rFonts w:ascii="Aptos" w:eastAsia="Segoe UI" w:hAnsi="Aptos" w:cs="Segoe UI"/>
                <w:sz w:val="18"/>
                <w:szCs w:val="14"/>
              </w:rPr>
              <w:t>The IVDR does not provide a definition of equivalence. To support consistent interpretation and application of this concept, it is essential to include a clear and harmonized definition.</w:t>
            </w:r>
          </w:p>
        </w:tc>
        <w:tc>
          <w:tcPr>
            <w:tcW w:w="5251" w:type="dxa"/>
            <w:tcBorders>
              <w:top w:val="single" w:sz="4" w:space="0" w:color="auto"/>
              <w:left w:val="single" w:sz="4" w:space="0" w:color="auto"/>
              <w:bottom w:val="single" w:sz="4" w:space="0" w:color="auto"/>
              <w:right w:val="single" w:sz="4" w:space="0" w:color="auto"/>
            </w:tcBorders>
          </w:tcPr>
          <w:p w14:paraId="5ABFE741" w14:textId="77777777" w:rsidR="00F26E61" w:rsidRPr="00F97146" w:rsidRDefault="00F26E61" w:rsidP="00407A8E">
            <w:pPr>
              <w:spacing w:line="276" w:lineRule="auto"/>
              <w:rPr>
                <w:rFonts w:eastAsia="Segoe UI" w:cs="Segoe UI"/>
                <w:iCs w:val="0"/>
                <w:sz w:val="18"/>
                <w:szCs w:val="14"/>
              </w:rPr>
            </w:pPr>
            <w:r w:rsidRPr="00F97146">
              <w:rPr>
                <w:rFonts w:eastAsia="Segoe UI" w:cs="Segoe UI"/>
                <w:iCs w:val="0"/>
                <w:sz w:val="18"/>
                <w:szCs w:val="14"/>
              </w:rPr>
              <w:t xml:space="preserve">Team NB proposed text: </w:t>
            </w:r>
          </w:p>
          <w:p w14:paraId="0F17842E" w14:textId="77777777" w:rsidR="00F26E61" w:rsidRPr="00F97146" w:rsidRDefault="00F26E61" w:rsidP="00407A8E">
            <w:pPr>
              <w:spacing w:line="276" w:lineRule="auto"/>
              <w:rPr>
                <w:iCs w:val="0"/>
                <w:sz w:val="18"/>
                <w:szCs w:val="14"/>
              </w:rPr>
            </w:pPr>
            <w:r w:rsidRPr="00F97146">
              <w:rPr>
                <w:rFonts w:eastAsia="Segoe UI" w:cs="Segoe UI"/>
                <w:iCs w:val="0"/>
                <w:sz w:val="18"/>
                <w:szCs w:val="14"/>
              </w:rPr>
              <w:t>Proposed definition of equivalence to be added to Art 2 (Definitions) of the IVDR or in Annex XIII</w:t>
            </w:r>
          </w:p>
          <w:p w14:paraId="14368AD7" w14:textId="77777777" w:rsidR="00F26E61" w:rsidRPr="00F97146" w:rsidRDefault="00F26E61" w:rsidP="00407A8E">
            <w:pPr>
              <w:spacing w:line="276" w:lineRule="auto"/>
              <w:rPr>
                <w:rFonts w:eastAsia="Segoe UI" w:cs="Segoe UI"/>
                <w:i/>
                <w:sz w:val="18"/>
                <w:szCs w:val="14"/>
              </w:rPr>
            </w:pPr>
            <w:r w:rsidRPr="00F97146">
              <w:rPr>
                <w:rFonts w:eastAsia="Segoe UI" w:cs="Segoe UI"/>
                <w:iCs w:val="0"/>
                <w:sz w:val="18"/>
                <w:szCs w:val="14"/>
              </w:rPr>
              <w:t>“</w:t>
            </w:r>
            <w:r w:rsidRPr="00F97146">
              <w:rPr>
                <w:rFonts w:eastAsia="Segoe UI" w:cs="Segoe UI"/>
                <w:i/>
                <w:sz w:val="18"/>
                <w:szCs w:val="14"/>
              </w:rPr>
              <w:t xml:space="preserve">In line with the definition of equivalence provided in MDR Annex XIV, Part A, Section 3, the manufacturer shall demonstrate that the devices in question share comparable characteristics in terms of design and specifications relevant to analytical performance,  </w:t>
            </w:r>
            <w:r w:rsidRPr="00F97146">
              <w:rPr>
                <w:rFonts w:eastAsia="Segoe UI" w:cs="Segoe UI"/>
                <w:i/>
                <w:sz w:val="18"/>
                <w:szCs w:val="14"/>
              </w:rPr>
              <w:lastRenderedPageBreak/>
              <w:t>intended purpose, target population and target users, such that no clinically significant differences in safety and performance would be expected.</w:t>
            </w:r>
          </w:p>
          <w:p w14:paraId="0B792171" w14:textId="77777777" w:rsidR="00F26E61" w:rsidRPr="00F97146" w:rsidRDefault="00F26E61" w:rsidP="00407A8E">
            <w:pPr>
              <w:spacing w:line="276" w:lineRule="auto"/>
              <w:rPr>
                <w:i/>
                <w:sz w:val="18"/>
                <w:szCs w:val="14"/>
              </w:rPr>
            </w:pPr>
          </w:p>
          <w:p w14:paraId="41049C88" w14:textId="77777777" w:rsidR="00F26E61" w:rsidRPr="00F97146" w:rsidRDefault="00F26E61" w:rsidP="00407A8E">
            <w:pPr>
              <w:spacing w:line="276" w:lineRule="auto"/>
              <w:rPr>
                <w:rFonts w:cs="Segoe UI"/>
                <w:sz w:val="18"/>
                <w:szCs w:val="14"/>
              </w:rPr>
            </w:pPr>
            <w:r w:rsidRPr="00F97146">
              <w:rPr>
                <w:rFonts w:eastAsia="Segoe UI" w:cs="Segoe UI"/>
                <w:i/>
                <w:sz w:val="18"/>
                <w:szCs w:val="14"/>
              </w:rPr>
              <w:t>To allow conformity assessment, the manufacturer shall provide clear evidence that sufficient data related to the equivalent device is available and presented to adequately justify the equivalence claim. If these conditions are not fulfilled, analytical and/or clinical performance studies will be required to support the performance claims.”</w:t>
            </w:r>
          </w:p>
        </w:tc>
      </w:tr>
    </w:tbl>
    <w:p w14:paraId="7077576D" w14:textId="77777777" w:rsidR="003A57C2" w:rsidRPr="00412ACF" w:rsidRDefault="003A57C2" w:rsidP="005F72C7">
      <w:pPr>
        <w:rPr>
          <w:szCs w:val="22"/>
        </w:rPr>
      </w:pPr>
    </w:p>
    <w:sectPr w:rsidR="003A57C2" w:rsidRPr="00412ACF" w:rsidSect="00F26E61">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33B48" w14:textId="77777777" w:rsidR="002F771E" w:rsidRDefault="002F771E" w:rsidP="00244C5D">
      <w:r>
        <w:separator/>
      </w:r>
    </w:p>
  </w:endnote>
  <w:endnote w:type="continuationSeparator" w:id="0">
    <w:p w14:paraId="5B8D2046" w14:textId="77777777" w:rsidR="002F771E" w:rsidRDefault="002F771E" w:rsidP="00244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2688"/>
    </w:tblGrid>
    <w:tr w:rsidR="009F3893" w:rsidRPr="009F3893" w14:paraId="75EFD87D" w14:textId="77777777" w:rsidTr="006A2DE6">
      <w:tc>
        <w:tcPr>
          <w:tcW w:w="6374" w:type="dxa"/>
        </w:tcPr>
        <w:p w14:paraId="13E12F63" w14:textId="17C28304" w:rsidR="009F3893" w:rsidRPr="009F3893" w:rsidRDefault="009F3893">
          <w:pPr>
            <w:pStyle w:val="Pieddepage"/>
            <w:rPr>
              <w:sz w:val="18"/>
            </w:rPr>
          </w:pPr>
          <w:r w:rsidRPr="009F3893">
            <w:rPr>
              <w:sz w:val="18"/>
            </w:rPr>
            <w:t xml:space="preserve">Ref.: </w:t>
          </w:r>
          <w:r w:rsidRPr="009F3893">
            <w:rPr>
              <w:sz w:val="18"/>
            </w:rPr>
            <w:fldChar w:fldCharType="begin"/>
          </w:r>
          <w:r w:rsidRPr="009F3893">
            <w:rPr>
              <w:sz w:val="18"/>
            </w:rPr>
            <w:instrText xml:space="preserve"> FILENAME   \* MERGEFORMAT </w:instrText>
          </w:r>
          <w:r w:rsidRPr="009F3893">
            <w:rPr>
              <w:sz w:val="18"/>
            </w:rPr>
            <w:fldChar w:fldCharType="separate"/>
          </w:r>
          <w:r w:rsidRPr="009F3893">
            <w:rPr>
              <w:noProof/>
              <w:sz w:val="18"/>
            </w:rPr>
            <w:t>Team-NB-MDRIVDR_revision-Have_your_say-20260407</w:t>
          </w:r>
          <w:r w:rsidRPr="009F3893">
            <w:rPr>
              <w:sz w:val="18"/>
            </w:rPr>
            <w:fldChar w:fldCharType="end"/>
          </w:r>
        </w:p>
      </w:tc>
      <w:tc>
        <w:tcPr>
          <w:tcW w:w="2688" w:type="dxa"/>
        </w:tcPr>
        <w:p w14:paraId="40E3959F" w14:textId="4CE349AF" w:rsidR="009F3893" w:rsidRPr="009F3893" w:rsidRDefault="009F3893" w:rsidP="009F3893">
          <w:pPr>
            <w:pStyle w:val="Pieddepage"/>
            <w:jc w:val="right"/>
            <w:rPr>
              <w:sz w:val="18"/>
            </w:rPr>
          </w:pPr>
          <w:r w:rsidRPr="009F3893">
            <w:rPr>
              <w:sz w:val="18"/>
            </w:rPr>
            <w:t xml:space="preserve">Page </w:t>
          </w:r>
          <w:r w:rsidRPr="009F3893">
            <w:rPr>
              <w:sz w:val="18"/>
            </w:rPr>
            <w:fldChar w:fldCharType="begin"/>
          </w:r>
          <w:r w:rsidRPr="009F3893">
            <w:rPr>
              <w:sz w:val="18"/>
            </w:rPr>
            <w:instrText xml:space="preserve"> PAGE   \* MERGEFORMAT </w:instrText>
          </w:r>
          <w:r w:rsidRPr="009F3893">
            <w:rPr>
              <w:sz w:val="18"/>
            </w:rPr>
            <w:fldChar w:fldCharType="separate"/>
          </w:r>
          <w:r w:rsidRPr="009F3893">
            <w:rPr>
              <w:noProof/>
              <w:sz w:val="18"/>
            </w:rPr>
            <w:t>1</w:t>
          </w:r>
          <w:r w:rsidRPr="009F3893">
            <w:rPr>
              <w:sz w:val="18"/>
            </w:rPr>
            <w:fldChar w:fldCharType="end"/>
          </w:r>
          <w:r w:rsidRPr="009F3893">
            <w:rPr>
              <w:sz w:val="18"/>
            </w:rPr>
            <w:t xml:space="preserve"> of </w:t>
          </w:r>
          <w:r w:rsidRPr="009F3893">
            <w:rPr>
              <w:sz w:val="18"/>
            </w:rPr>
            <w:fldChar w:fldCharType="begin"/>
          </w:r>
          <w:r w:rsidRPr="009F3893">
            <w:rPr>
              <w:sz w:val="18"/>
            </w:rPr>
            <w:instrText xml:space="preserve"> NUMPAGES   \* MERGEFORMAT </w:instrText>
          </w:r>
          <w:r w:rsidRPr="009F3893">
            <w:rPr>
              <w:sz w:val="18"/>
            </w:rPr>
            <w:fldChar w:fldCharType="separate"/>
          </w:r>
          <w:r w:rsidRPr="009F3893">
            <w:rPr>
              <w:noProof/>
              <w:sz w:val="18"/>
            </w:rPr>
            <w:t>98</w:t>
          </w:r>
          <w:r w:rsidRPr="009F3893">
            <w:rPr>
              <w:sz w:val="18"/>
            </w:rPr>
            <w:fldChar w:fldCharType="end"/>
          </w:r>
        </w:p>
      </w:tc>
    </w:tr>
  </w:tbl>
  <w:p w14:paraId="645568D4" w14:textId="77777777" w:rsidR="009F3893" w:rsidRDefault="009F389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C6D3C" w14:textId="77777777" w:rsidR="002F771E" w:rsidRDefault="002F771E" w:rsidP="00244C5D">
      <w:r>
        <w:separator/>
      </w:r>
    </w:p>
  </w:footnote>
  <w:footnote w:type="continuationSeparator" w:id="0">
    <w:p w14:paraId="405F47DD" w14:textId="77777777" w:rsidR="002F771E" w:rsidRDefault="002F771E" w:rsidP="00244C5D">
      <w:r>
        <w:continuationSeparator/>
      </w:r>
    </w:p>
  </w:footnote>
  <w:footnote w:id="1">
    <w:p w14:paraId="6868291E" w14:textId="77777777" w:rsidR="00E7303F" w:rsidRDefault="00E7303F" w:rsidP="00E7303F">
      <w:pPr>
        <w:pStyle w:val="Notedebasdepage"/>
        <w:jc w:val="both"/>
        <w:rPr>
          <w:rFonts w:ascii="Arial" w:hAnsi="Arial" w:cs="Arial"/>
          <w:sz w:val="18"/>
          <w:szCs w:val="18"/>
        </w:rPr>
      </w:pPr>
      <w:r>
        <w:rPr>
          <w:rStyle w:val="Appelnotedebasdep"/>
          <w:rFonts w:ascii="Arial" w:hAnsi="Arial" w:cs="Arial"/>
          <w:sz w:val="18"/>
          <w:szCs w:val="18"/>
        </w:rPr>
        <w:footnoteRef/>
      </w:r>
      <w:r>
        <w:rPr>
          <w:rFonts w:ascii="Arial" w:hAnsi="Arial" w:cs="Arial"/>
          <w:sz w:val="18"/>
          <w:szCs w:val="18"/>
        </w:rPr>
        <w:t xml:space="preserve"> To the extent possible, guidance developed for medical devices at international level, in particular in the context of the Global Harmonization Task Force (GHTF) and its follow-up initiative, the International Medical Devices Regulators Forum (IMDRF), should be taken into account to promote the global convergence of regulations which contributes to a high level of safety protection worldwide, and to facilitate trade, in particular in the provisions on Unique Device Identification, general safety and performance requirements, technical documentation, classification rules, conformity assessment procedures and clinical investigations.</w:t>
      </w:r>
    </w:p>
  </w:footnote>
  <w:footnote w:id="2">
    <w:p w14:paraId="7EFE5317" w14:textId="77777777" w:rsidR="00E7303F" w:rsidRDefault="00E7303F" w:rsidP="00E7303F">
      <w:pPr>
        <w:pStyle w:val="Notedebasdepage"/>
        <w:jc w:val="both"/>
        <w:rPr>
          <w:rFonts w:ascii="Arial" w:hAnsi="Arial" w:cs="Arial"/>
          <w:sz w:val="18"/>
          <w:szCs w:val="18"/>
        </w:rPr>
      </w:pPr>
      <w:r>
        <w:rPr>
          <w:rStyle w:val="Appelnotedebasdep"/>
          <w:rFonts w:ascii="Arial" w:hAnsi="Arial" w:cs="Arial"/>
          <w:sz w:val="18"/>
          <w:szCs w:val="18"/>
        </w:rPr>
        <w:footnoteRef/>
      </w:r>
      <w:r>
        <w:rPr>
          <w:rFonts w:ascii="Arial" w:hAnsi="Arial" w:cs="Arial"/>
          <w:sz w:val="18"/>
          <w:szCs w:val="18"/>
        </w:rPr>
        <w:t xml:space="preserve"> To ensure a high level of safety and performance, demonstration of compliance with the general safety and performance requirements laid down in this Regulation should be based on clinical data that, for class III devices and implantable devices should, as a general rule, be sourced from clinical investigations that have been carried out under the responsibility of a sponsor. It should be possible both for the manufacturer and for another natural or legal person to be the sponsor taking responsibility for the clinical investigation</w:t>
      </w:r>
    </w:p>
  </w:footnote>
  <w:footnote w:id="3">
    <w:p w14:paraId="7DC68878" w14:textId="2B185CDD" w:rsidR="00E7303F" w:rsidRDefault="00E7303F" w:rsidP="00E7303F">
      <w:pPr>
        <w:pStyle w:val="Notedebasdepage"/>
        <w:jc w:val="both"/>
        <w:rPr>
          <w:rFonts w:ascii="Arial" w:hAnsi="Arial" w:cs="Arial"/>
          <w:sz w:val="18"/>
          <w:szCs w:val="18"/>
        </w:rPr>
      </w:pPr>
      <w:r>
        <w:rPr>
          <w:rStyle w:val="Appelnotedebasdep"/>
          <w:rFonts w:ascii="Arial" w:hAnsi="Arial" w:cs="Arial"/>
          <w:sz w:val="18"/>
          <w:szCs w:val="18"/>
        </w:rPr>
        <w:footnoteRef/>
      </w:r>
      <w:r>
        <w:rPr>
          <w:rFonts w:ascii="Arial" w:hAnsi="Arial" w:cs="Arial"/>
          <w:sz w:val="18"/>
          <w:szCs w:val="18"/>
        </w:rPr>
        <w:t xml:space="preserve"> To ensure a high level of safety and performance, demonstration of compliance with the general safety and performance requirements laid down in this Regulation should be based on clinical data that, for class III devices and implantable devices should, as a general rule, be sourced from clinical investigations that have been carried out under the responsibility of a sponsor. It should be possible both for the manufacturer and for another natural or legal person to be the sponsor taking responsibility for the clinical investigation</w:t>
      </w:r>
      <w:r w:rsidR="007A3F10">
        <w:rPr>
          <w:rFonts w:ascii="Arial" w:hAnsi="Arial" w:cs="Arial"/>
          <w:sz w:val="18"/>
          <w:szCs w:val="18"/>
        </w:rPr>
        <w:t>.</w:t>
      </w:r>
    </w:p>
  </w:footnote>
  <w:footnote w:id="4">
    <w:p w14:paraId="39F4ED3E" w14:textId="77777777" w:rsidR="00F26E61" w:rsidRDefault="00F26E61" w:rsidP="00F26E61">
      <w:pPr>
        <w:pStyle w:val="Notedebasdepage"/>
        <w:jc w:val="both"/>
        <w:rPr>
          <w:rFonts w:ascii="Arial" w:hAnsi="Arial" w:cs="Arial"/>
          <w:sz w:val="18"/>
          <w:szCs w:val="18"/>
        </w:rPr>
      </w:pPr>
      <w:r>
        <w:rPr>
          <w:rStyle w:val="Appelnotedebasdep"/>
          <w:rFonts w:ascii="Arial" w:hAnsi="Arial" w:cs="Arial"/>
          <w:sz w:val="18"/>
          <w:szCs w:val="18"/>
        </w:rPr>
        <w:footnoteRef/>
      </w:r>
      <w:r>
        <w:rPr>
          <w:rFonts w:ascii="Arial" w:hAnsi="Arial" w:cs="Arial"/>
          <w:sz w:val="18"/>
          <w:szCs w:val="18"/>
        </w:rPr>
        <w:t xml:space="preserve"> To ensure a high level of safety and performance, demonstration of compliance with the general safety and performance requirements laid down in this Regulation should be based on clinical data that, for class III devices and implantable devices should, as a general rule, be sourced from clinical investigations that have been carried out under the responsibility of a sponsor. It should be possible both for the manufacturer and for another natural or legal person to be the sponsor taking responsibility for the clinical investigation</w:t>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1242"/>
    <w:multiLevelType w:val="hybridMultilevel"/>
    <w:tmpl w:val="2572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0A187E"/>
    <w:multiLevelType w:val="hybridMultilevel"/>
    <w:tmpl w:val="B91A9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285219"/>
    <w:multiLevelType w:val="multilevel"/>
    <w:tmpl w:val="CF0CA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5C0A09"/>
    <w:multiLevelType w:val="multilevel"/>
    <w:tmpl w:val="5AB4005E"/>
    <w:lvl w:ilvl="0">
      <w:start w:val="3"/>
      <w:numFmt w:val="none"/>
      <w:lvlText w:val="5"/>
      <w:lvlJc w:val="left"/>
      <w:pPr>
        <w:ind w:left="435" w:hanging="435"/>
      </w:pPr>
      <w:rPr>
        <w:rFonts w:hint="default"/>
      </w:rPr>
    </w:lvl>
    <w:lvl w:ilvl="1">
      <w:start w:val="3"/>
      <w:numFmt w:val="decimal"/>
      <w:lvlText w:val="%1.%2"/>
      <w:lvlJc w:val="left"/>
      <w:pPr>
        <w:ind w:left="506" w:hanging="435"/>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4" w15:restartNumberingAfterBreak="0">
    <w:nsid w:val="03EA5A73"/>
    <w:multiLevelType w:val="multilevel"/>
    <w:tmpl w:val="CF0CA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94625C"/>
    <w:multiLevelType w:val="hybridMultilevel"/>
    <w:tmpl w:val="430C75D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57B6749"/>
    <w:multiLevelType w:val="multilevel"/>
    <w:tmpl w:val="5B02E9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AC57BF"/>
    <w:multiLevelType w:val="multilevel"/>
    <w:tmpl w:val="EE5E28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C42F38"/>
    <w:multiLevelType w:val="multilevel"/>
    <w:tmpl w:val="CF0CA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70C0A82"/>
    <w:multiLevelType w:val="multilevel"/>
    <w:tmpl w:val="CF0CA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8112549"/>
    <w:multiLevelType w:val="multilevel"/>
    <w:tmpl w:val="59C8A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0646FB"/>
    <w:multiLevelType w:val="hybridMultilevel"/>
    <w:tmpl w:val="5E1CAA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AEF22B4"/>
    <w:multiLevelType w:val="hybridMultilevel"/>
    <w:tmpl w:val="94DC69E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B3A6795"/>
    <w:multiLevelType w:val="multilevel"/>
    <w:tmpl w:val="53DEC17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0BCD7914"/>
    <w:multiLevelType w:val="hybridMultilevel"/>
    <w:tmpl w:val="81704A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C3460FE"/>
    <w:multiLevelType w:val="hybridMultilevel"/>
    <w:tmpl w:val="04A6D3D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C6E0605"/>
    <w:multiLevelType w:val="multilevel"/>
    <w:tmpl w:val="CF0CA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D8E2C42"/>
    <w:multiLevelType w:val="multilevel"/>
    <w:tmpl w:val="CF0CA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E0F7DF6"/>
    <w:multiLevelType w:val="hybridMultilevel"/>
    <w:tmpl w:val="07325C5C"/>
    <w:lvl w:ilvl="0" w:tplc="0407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10AE1B2D"/>
    <w:multiLevelType w:val="hybridMultilevel"/>
    <w:tmpl w:val="7BA87616"/>
    <w:lvl w:ilvl="0" w:tplc="FFFFFFFF">
      <w:start w:val="1"/>
      <w:numFmt w:val="decimal"/>
      <w:lvlText w:val="%1."/>
      <w:lvlJc w:val="left"/>
      <w:pPr>
        <w:ind w:left="360" w:hanging="360"/>
      </w:pPr>
    </w:lvl>
    <w:lvl w:ilvl="1" w:tplc="FFFFFFFF">
      <w:start w:val="1"/>
      <w:numFmt w:val="bullet"/>
      <w:lvlText w:val=""/>
      <w:lvlJc w:val="left"/>
      <w:pPr>
        <w:ind w:left="360" w:hanging="360"/>
      </w:pPr>
      <w:rPr>
        <w:rFonts w:ascii="Wingdings" w:hAnsi="Wingdings"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0" w15:restartNumberingAfterBreak="0">
    <w:nsid w:val="12091494"/>
    <w:multiLevelType w:val="hybridMultilevel"/>
    <w:tmpl w:val="D6CC03F0"/>
    <w:lvl w:ilvl="0" w:tplc="0809000F">
      <w:start w:val="1"/>
      <w:numFmt w:val="decimal"/>
      <w:lvlText w:val="%1."/>
      <w:lvlJc w:val="left"/>
      <w:pPr>
        <w:ind w:left="38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33507A3"/>
    <w:multiLevelType w:val="multilevel"/>
    <w:tmpl w:val="459A9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582CB79"/>
    <w:multiLevelType w:val="hybridMultilevel"/>
    <w:tmpl w:val="541C2FE2"/>
    <w:lvl w:ilvl="0" w:tplc="53DEF5B8">
      <w:start w:val="1"/>
      <w:numFmt w:val="decimal"/>
      <w:lvlText w:val="%1."/>
      <w:lvlJc w:val="left"/>
      <w:pPr>
        <w:ind w:left="720" w:hanging="360"/>
      </w:pPr>
    </w:lvl>
    <w:lvl w:ilvl="1" w:tplc="1D14F784">
      <w:start w:val="1"/>
      <w:numFmt w:val="decimal"/>
      <w:lvlText w:val="%2.1"/>
      <w:lvlJc w:val="left"/>
      <w:pPr>
        <w:ind w:left="1440" w:hanging="360"/>
      </w:pPr>
    </w:lvl>
    <w:lvl w:ilvl="2" w:tplc="3690AC34">
      <w:start w:val="1"/>
      <w:numFmt w:val="lowerRoman"/>
      <w:lvlText w:val="%3."/>
      <w:lvlJc w:val="right"/>
      <w:pPr>
        <w:ind w:left="2160" w:hanging="180"/>
      </w:pPr>
    </w:lvl>
    <w:lvl w:ilvl="3" w:tplc="E468058A">
      <w:start w:val="1"/>
      <w:numFmt w:val="decimal"/>
      <w:lvlText w:val="%4."/>
      <w:lvlJc w:val="left"/>
      <w:pPr>
        <w:ind w:left="2880" w:hanging="360"/>
      </w:pPr>
    </w:lvl>
    <w:lvl w:ilvl="4" w:tplc="D7D4841C">
      <w:start w:val="1"/>
      <w:numFmt w:val="lowerLetter"/>
      <w:lvlText w:val="%5."/>
      <w:lvlJc w:val="left"/>
      <w:pPr>
        <w:ind w:left="3600" w:hanging="360"/>
      </w:pPr>
    </w:lvl>
    <w:lvl w:ilvl="5" w:tplc="B6E4B888">
      <w:start w:val="1"/>
      <w:numFmt w:val="lowerRoman"/>
      <w:lvlText w:val="%6."/>
      <w:lvlJc w:val="right"/>
      <w:pPr>
        <w:ind w:left="4320" w:hanging="180"/>
      </w:pPr>
    </w:lvl>
    <w:lvl w:ilvl="6" w:tplc="A8D6BDE8">
      <w:start w:val="1"/>
      <w:numFmt w:val="decimal"/>
      <w:lvlText w:val="%7."/>
      <w:lvlJc w:val="left"/>
      <w:pPr>
        <w:ind w:left="5040" w:hanging="360"/>
      </w:pPr>
    </w:lvl>
    <w:lvl w:ilvl="7" w:tplc="DF788654">
      <w:start w:val="1"/>
      <w:numFmt w:val="lowerLetter"/>
      <w:lvlText w:val="%8."/>
      <w:lvlJc w:val="left"/>
      <w:pPr>
        <w:ind w:left="5760" w:hanging="360"/>
      </w:pPr>
    </w:lvl>
    <w:lvl w:ilvl="8" w:tplc="BF62BCFC">
      <w:start w:val="1"/>
      <w:numFmt w:val="lowerRoman"/>
      <w:lvlText w:val="%9."/>
      <w:lvlJc w:val="right"/>
      <w:pPr>
        <w:ind w:left="6480" w:hanging="180"/>
      </w:pPr>
    </w:lvl>
  </w:abstractNum>
  <w:abstractNum w:abstractNumId="23" w15:restartNumberingAfterBreak="0">
    <w:nsid w:val="160C71FE"/>
    <w:multiLevelType w:val="multilevel"/>
    <w:tmpl w:val="53DEC17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177B74D6"/>
    <w:multiLevelType w:val="hybridMultilevel"/>
    <w:tmpl w:val="2A02F4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BE27591"/>
    <w:multiLevelType w:val="hybridMultilevel"/>
    <w:tmpl w:val="9B62ADE4"/>
    <w:lvl w:ilvl="0" w:tplc="FFFFFFFF">
      <w:start w:val="1"/>
      <w:numFmt w:val="lowerRoman"/>
      <w:lvlText w:val="%1."/>
      <w:lvlJc w:val="right"/>
      <w:pPr>
        <w:ind w:left="720" w:hanging="360"/>
      </w:p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D685CE2"/>
    <w:multiLevelType w:val="hybridMultilevel"/>
    <w:tmpl w:val="F17A5D72"/>
    <w:lvl w:ilvl="0" w:tplc="08090001">
      <w:start w:val="1"/>
      <w:numFmt w:val="bullet"/>
      <w:lvlText w:val=""/>
      <w:lvlJc w:val="left"/>
      <w:pPr>
        <w:ind w:left="720" w:hanging="360"/>
      </w:pPr>
      <w:rPr>
        <w:rFonts w:ascii="Symbol" w:hAnsi="Symbol" w:hint="default"/>
      </w:rPr>
    </w:lvl>
    <w:lvl w:ilvl="1" w:tplc="7054B222">
      <w:start w:val="1"/>
      <w:numFmt w:val="bullet"/>
      <w:lvlText w:val="-"/>
      <w:lvlJc w:val="left"/>
      <w:pPr>
        <w:ind w:left="1440" w:hanging="360"/>
      </w:pPr>
      <w:rPr>
        <w:rFonts w:ascii="Aptos" w:eastAsia="Segoe UI" w:hAnsi="Aptos" w:cs="Segoe U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1D7379C2"/>
    <w:multiLevelType w:val="hybridMultilevel"/>
    <w:tmpl w:val="C4E28E12"/>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227233AA"/>
    <w:multiLevelType w:val="hybridMultilevel"/>
    <w:tmpl w:val="869C8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2AA10A5"/>
    <w:multiLevelType w:val="multilevel"/>
    <w:tmpl w:val="CF0CA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5584F43"/>
    <w:multiLevelType w:val="hybridMultilevel"/>
    <w:tmpl w:val="138889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56B3FDF"/>
    <w:multiLevelType w:val="hybridMultilevel"/>
    <w:tmpl w:val="30A82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8F01DAD"/>
    <w:multiLevelType w:val="hybridMultilevel"/>
    <w:tmpl w:val="70365914"/>
    <w:lvl w:ilvl="0" w:tplc="B25040E4">
      <w:start w:val="1"/>
      <w:numFmt w:val="bullet"/>
      <w:lvlText w:val="·"/>
      <w:lvlJc w:val="left"/>
      <w:pPr>
        <w:ind w:left="720" w:hanging="360"/>
      </w:pPr>
      <w:rPr>
        <w:rFonts w:ascii="Symbol" w:hAnsi="Symbol" w:hint="default"/>
      </w:rPr>
    </w:lvl>
    <w:lvl w:ilvl="1" w:tplc="E28C926C">
      <w:start w:val="1"/>
      <w:numFmt w:val="bullet"/>
      <w:lvlText w:val="o"/>
      <w:lvlJc w:val="left"/>
      <w:pPr>
        <w:ind w:left="1440" w:hanging="360"/>
      </w:pPr>
      <w:rPr>
        <w:rFonts w:ascii="Courier New" w:hAnsi="Courier New" w:hint="default"/>
      </w:rPr>
    </w:lvl>
    <w:lvl w:ilvl="2" w:tplc="9EF2189C">
      <w:start w:val="1"/>
      <w:numFmt w:val="bullet"/>
      <w:lvlText w:val=""/>
      <w:lvlJc w:val="left"/>
      <w:pPr>
        <w:ind w:left="2160" w:hanging="360"/>
      </w:pPr>
      <w:rPr>
        <w:rFonts w:ascii="Wingdings" w:hAnsi="Wingdings" w:hint="default"/>
      </w:rPr>
    </w:lvl>
    <w:lvl w:ilvl="3" w:tplc="584E2480">
      <w:start w:val="1"/>
      <w:numFmt w:val="bullet"/>
      <w:lvlText w:val=""/>
      <w:lvlJc w:val="left"/>
      <w:pPr>
        <w:ind w:left="2880" w:hanging="360"/>
      </w:pPr>
      <w:rPr>
        <w:rFonts w:ascii="Symbol" w:hAnsi="Symbol" w:hint="default"/>
      </w:rPr>
    </w:lvl>
    <w:lvl w:ilvl="4" w:tplc="CADE4902">
      <w:start w:val="1"/>
      <w:numFmt w:val="bullet"/>
      <w:lvlText w:val="o"/>
      <w:lvlJc w:val="left"/>
      <w:pPr>
        <w:ind w:left="3600" w:hanging="360"/>
      </w:pPr>
      <w:rPr>
        <w:rFonts w:ascii="Courier New" w:hAnsi="Courier New" w:hint="default"/>
      </w:rPr>
    </w:lvl>
    <w:lvl w:ilvl="5" w:tplc="507640AC">
      <w:start w:val="1"/>
      <w:numFmt w:val="bullet"/>
      <w:lvlText w:val=""/>
      <w:lvlJc w:val="left"/>
      <w:pPr>
        <w:ind w:left="4320" w:hanging="360"/>
      </w:pPr>
      <w:rPr>
        <w:rFonts w:ascii="Wingdings" w:hAnsi="Wingdings" w:hint="default"/>
      </w:rPr>
    </w:lvl>
    <w:lvl w:ilvl="6" w:tplc="6930B9CA">
      <w:start w:val="1"/>
      <w:numFmt w:val="bullet"/>
      <w:lvlText w:val=""/>
      <w:lvlJc w:val="left"/>
      <w:pPr>
        <w:ind w:left="5040" w:hanging="360"/>
      </w:pPr>
      <w:rPr>
        <w:rFonts w:ascii="Symbol" w:hAnsi="Symbol" w:hint="default"/>
      </w:rPr>
    </w:lvl>
    <w:lvl w:ilvl="7" w:tplc="F49240BA">
      <w:start w:val="1"/>
      <w:numFmt w:val="bullet"/>
      <w:lvlText w:val="o"/>
      <w:lvlJc w:val="left"/>
      <w:pPr>
        <w:ind w:left="5760" w:hanging="360"/>
      </w:pPr>
      <w:rPr>
        <w:rFonts w:ascii="Courier New" w:hAnsi="Courier New" w:hint="default"/>
      </w:rPr>
    </w:lvl>
    <w:lvl w:ilvl="8" w:tplc="6D5831D0">
      <w:start w:val="1"/>
      <w:numFmt w:val="bullet"/>
      <w:lvlText w:val=""/>
      <w:lvlJc w:val="left"/>
      <w:pPr>
        <w:ind w:left="6480" w:hanging="360"/>
      </w:pPr>
      <w:rPr>
        <w:rFonts w:ascii="Wingdings" w:hAnsi="Wingdings" w:hint="default"/>
      </w:rPr>
    </w:lvl>
  </w:abstractNum>
  <w:abstractNum w:abstractNumId="33" w15:restartNumberingAfterBreak="0">
    <w:nsid w:val="2AE96051"/>
    <w:multiLevelType w:val="hybridMultilevel"/>
    <w:tmpl w:val="4C8C2C08"/>
    <w:lvl w:ilvl="0" w:tplc="08090001">
      <w:start w:val="1"/>
      <w:numFmt w:val="bullet"/>
      <w:lvlText w:val=""/>
      <w:lvlJc w:val="left"/>
      <w:pPr>
        <w:ind w:left="759" w:hanging="360"/>
      </w:pPr>
      <w:rPr>
        <w:rFonts w:ascii="Symbol" w:hAnsi="Symbo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34" w15:restartNumberingAfterBreak="0">
    <w:nsid w:val="2E2340F2"/>
    <w:multiLevelType w:val="multilevel"/>
    <w:tmpl w:val="CF0CA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F2C6154"/>
    <w:multiLevelType w:val="multilevel"/>
    <w:tmpl w:val="2BDC1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3297A91"/>
    <w:multiLevelType w:val="hybridMultilevel"/>
    <w:tmpl w:val="B7164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39D4500"/>
    <w:multiLevelType w:val="multilevel"/>
    <w:tmpl w:val="4896FF2C"/>
    <w:lvl w:ilvl="0">
      <w:numFmt w:val="decimal"/>
      <w:lvlText w:val="%1."/>
      <w:lvlJc w:val="left"/>
      <w:pPr>
        <w:ind w:left="502" w:hanging="360"/>
      </w:pPr>
    </w:lvl>
    <w:lvl w:ilvl="1">
      <w:start w:val="1"/>
      <w:numFmt w:val="decimal"/>
      <w:lvlText w:val="%1.%2."/>
      <w:lvlJc w:val="left"/>
      <w:pPr>
        <w:ind w:left="1850" w:hanging="432"/>
      </w:pPr>
    </w:lvl>
    <w:lvl w:ilvl="2">
      <w:start w:val="1"/>
      <w:numFmt w:val="decimal"/>
      <w:lvlText w:val="%1.%2.%3."/>
      <w:lvlJc w:val="left"/>
      <w:pPr>
        <w:ind w:left="1224" w:hanging="504"/>
      </w:pPr>
      <w:rPr>
        <w:rFonts w:hint="default"/>
      </w:rPr>
    </w:lvl>
    <w:lvl w:ilvl="3">
      <w:start w:val="1"/>
      <w:numFmt w:val="decimal"/>
      <w:pStyle w:val="Titre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35D56EFB"/>
    <w:multiLevelType w:val="hybridMultilevel"/>
    <w:tmpl w:val="AF82A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62B5102"/>
    <w:multiLevelType w:val="multilevel"/>
    <w:tmpl w:val="26889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79761A6"/>
    <w:multiLevelType w:val="multilevel"/>
    <w:tmpl w:val="F530D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7EB5F77"/>
    <w:multiLevelType w:val="hybridMultilevel"/>
    <w:tmpl w:val="4EE2A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7FE4D2A"/>
    <w:multiLevelType w:val="multilevel"/>
    <w:tmpl w:val="2D6C0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A9E7D62"/>
    <w:multiLevelType w:val="hybridMultilevel"/>
    <w:tmpl w:val="C70CA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AA57B59"/>
    <w:multiLevelType w:val="multilevel"/>
    <w:tmpl w:val="CF0CA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BE62504"/>
    <w:multiLevelType w:val="hybridMultilevel"/>
    <w:tmpl w:val="00261888"/>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3C7E7C5A"/>
    <w:multiLevelType w:val="hybridMultilevel"/>
    <w:tmpl w:val="BBE4943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D867D92"/>
    <w:multiLevelType w:val="hybridMultilevel"/>
    <w:tmpl w:val="2C4481E8"/>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3F375DC9"/>
    <w:multiLevelType w:val="multilevel"/>
    <w:tmpl w:val="557A9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2C94D16"/>
    <w:multiLevelType w:val="multilevel"/>
    <w:tmpl w:val="5B02E9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3F3137A"/>
    <w:multiLevelType w:val="multilevel"/>
    <w:tmpl w:val="E40C5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7A7097E"/>
    <w:multiLevelType w:val="multilevel"/>
    <w:tmpl w:val="14C89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8105A6E"/>
    <w:multiLevelType w:val="multilevel"/>
    <w:tmpl w:val="CF0CA5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8757EC0"/>
    <w:multiLevelType w:val="multilevel"/>
    <w:tmpl w:val="14C89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95C0112"/>
    <w:multiLevelType w:val="hybridMultilevel"/>
    <w:tmpl w:val="6D280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A41512B"/>
    <w:multiLevelType w:val="hybridMultilevel"/>
    <w:tmpl w:val="2E3E7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B4016CE"/>
    <w:multiLevelType w:val="multilevel"/>
    <w:tmpl w:val="1F0ED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BC91AA8"/>
    <w:multiLevelType w:val="multilevel"/>
    <w:tmpl w:val="CF0CA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D14369A"/>
    <w:multiLevelType w:val="hybridMultilevel"/>
    <w:tmpl w:val="4E28DE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4F06515B"/>
    <w:multiLevelType w:val="hybridMultilevel"/>
    <w:tmpl w:val="AE128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041211E"/>
    <w:multiLevelType w:val="hybridMultilevel"/>
    <w:tmpl w:val="755CC72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51FB4490"/>
    <w:multiLevelType w:val="multilevel"/>
    <w:tmpl w:val="05AAC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2901E88"/>
    <w:multiLevelType w:val="multilevel"/>
    <w:tmpl w:val="EE5E28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3052DD7"/>
    <w:multiLevelType w:val="hybridMultilevel"/>
    <w:tmpl w:val="2E84DEEE"/>
    <w:lvl w:ilvl="0" w:tplc="08090001">
      <w:start w:val="1"/>
      <w:numFmt w:val="bullet"/>
      <w:lvlText w:val=""/>
      <w:lvlJc w:val="left"/>
      <w:pPr>
        <w:ind w:left="766" w:hanging="360"/>
      </w:pPr>
      <w:rPr>
        <w:rFonts w:ascii="Symbol" w:hAnsi="Symbol" w:hint="default"/>
      </w:rPr>
    </w:lvl>
    <w:lvl w:ilvl="1" w:tplc="FFFFFFFF">
      <w:start w:val="1"/>
      <w:numFmt w:val="bullet"/>
      <w:lvlText w:val="o"/>
      <w:lvlJc w:val="left"/>
      <w:pPr>
        <w:ind w:left="1486" w:hanging="360"/>
      </w:pPr>
      <w:rPr>
        <w:rFonts w:ascii="Courier New" w:hAnsi="Courier New" w:cs="Courier New" w:hint="default"/>
      </w:rPr>
    </w:lvl>
    <w:lvl w:ilvl="2" w:tplc="FFFFFFFF">
      <w:start w:val="1"/>
      <w:numFmt w:val="bullet"/>
      <w:lvlText w:val=""/>
      <w:lvlJc w:val="left"/>
      <w:pPr>
        <w:ind w:left="2206" w:hanging="360"/>
      </w:pPr>
      <w:rPr>
        <w:rFonts w:ascii="Wingdings" w:hAnsi="Wingdings" w:hint="default"/>
      </w:rPr>
    </w:lvl>
    <w:lvl w:ilvl="3" w:tplc="FFFFFFFF">
      <w:start w:val="1"/>
      <w:numFmt w:val="bullet"/>
      <w:lvlText w:val=""/>
      <w:lvlJc w:val="left"/>
      <w:pPr>
        <w:ind w:left="2926" w:hanging="360"/>
      </w:pPr>
      <w:rPr>
        <w:rFonts w:ascii="Symbol" w:hAnsi="Symbol" w:hint="default"/>
      </w:rPr>
    </w:lvl>
    <w:lvl w:ilvl="4" w:tplc="FFFFFFFF">
      <w:start w:val="1"/>
      <w:numFmt w:val="bullet"/>
      <w:lvlText w:val="o"/>
      <w:lvlJc w:val="left"/>
      <w:pPr>
        <w:ind w:left="3646" w:hanging="360"/>
      </w:pPr>
      <w:rPr>
        <w:rFonts w:ascii="Courier New" w:hAnsi="Courier New" w:cs="Courier New" w:hint="default"/>
      </w:rPr>
    </w:lvl>
    <w:lvl w:ilvl="5" w:tplc="FFFFFFFF">
      <w:start w:val="1"/>
      <w:numFmt w:val="bullet"/>
      <w:lvlText w:val=""/>
      <w:lvlJc w:val="left"/>
      <w:pPr>
        <w:ind w:left="4366" w:hanging="360"/>
      </w:pPr>
      <w:rPr>
        <w:rFonts w:ascii="Wingdings" w:hAnsi="Wingdings" w:hint="default"/>
      </w:rPr>
    </w:lvl>
    <w:lvl w:ilvl="6" w:tplc="FFFFFFFF">
      <w:start w:val="1"/>
      <w:numFmt w:val="bullet"/>
      <w:lvlText w:val=""/>
      <w:lvlJc w:val="left"/>
      <w:pPr>
        <w:ind w:left="5086" w:hanging="360"/>
      </w:pPr>
      <w:rPr>
        <w:rFonts w:ascii="Symbol" w:hAnsi="Symbol" w:hint="default"/>
      </w:rPr>
    </w:lvl>
    <w:lvl w:ilvl="7" w:tplc="FFFFFFFF">
      <w:start w:val="1"/>
      <w:numFmt w:val="bullet"/>
      <w:lvlText w:val="o"/>
      <w:lvlJc w:val="left"/>
      <w:pPr>
        <w:ind w:left="5806" w:hanging="360"/>
      </w:pPr>
      <w:rPr>
        <w:rFonts w:ascii="Courier New" w:hAnsi="Courier New" w:cs="Courier New" w:hint="default"/>
      </w:rPr>
    </w:lvl>
    <w:lvl w:ilvl="8" w:tplc="FFFFFFFF">
      <w:start w:val="1"/>
      <w:numFmt w:val="bullet"/>
      <w:lvlText w:val=""/>
      <w:lvlJc w:val="left"/>
      <w:pPr>
        <w:ind w:left="6526" w:hanging="360"/>
      </w:pPr>
      <w:rPr>
        <w:rFonts w:ascii="Wingdings" w:hAnsi="Wingdings" w:hint="default"/>
      </w:rPr>
    </w:lvl>
  </w:abstractNum>
  <w:abstractNum w:abstractNumId="64" w15:restartNumberingAfterBreak="0">
    <w:nsid w:val="54353F8F"/>
    <w:multiLevelType w:val="multilevel"/>
    <w:tmpl w:val="CF0CA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6B47E66"/>
    <w:multiLevelType w:val="multilevel"/>
    <w:tmpl w:val="BC385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5ACB5E73"/>
    <w:multiLevelType w:val="hybridMultilevel"/>
    <w:tmpl w:val="9D38F24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5C642439"/>
    <w:multiLevelType w:val="multilevel"/>
    <w:tmpl w:val="CF0CA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C8F1389"/>
    <w:multiLevelType w:val="hybridMultilevel"/>
    <w:tmpl w:val="7BF624E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5D670A11"/>
    <w:multiLevelType w:val="hybridMultilevel"/>
    <w:tmpl w:val="A508A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DBD6977"/>
    <w:multiLevelType w:val="hybridMultilevel"/>
    <w:tmpl w:val="98AC6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EC90F34"/>
    <w:multiLevelType w:val="hybridMultilevel"/>
    <w:tmpl w:val="DC44D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F2A15E0"/>
    <w:multiLevelType w:val="hybridMultilevel"/>
    <w:tmpl w:val="CF5476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3" w15:restartNumberingAfterBreak="0">
    <w:nsid w:val="5F3E23C5"/>
    <w:multiLevelType w:val="hybridMultilevel"/>
    <w:tmpl w:val="ED0C8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0EF7C33"/>
    <w:multiLevelType w:val="hybridMultilevel"/>
    <w:tmpl w:val="5C1CF6F4"/>
    <w:lvl w:ilvl="0" w:tplc="08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5" w15:restartNumberingAfterBreak="0">
    <w:nsid w:val="61316166"/>
    <w:multiLevelType w:val="multilevel"/>
    <w:tmpl w:val="D8F265E4"/>
    <w:lvl w:ilvl="0">
      <w:numFmt w:val="decimal"/>
      <w:pStyle w:val="Titre1"/>
      <w:lvlText w:val="%1."/>
      <w:lvlJc w:val="left"/>
      <w:pPr>
        <w:ind w:left="502" w:hanging="360"/>
      </w:pPr>
      <w:rPr>
        <w:rFonts w:hint="default"/>
      </w:rPr>
    </w:lvl>
    <w:lvl w:ilvl="1">
      <w:start w:val="1"/>
      <w:numFmt w:val="decimal"/>
      <w:pStyle w:val="Titre2"/>
      <w:lvlText w:val="%1.%2."/>
      <w:lvlJc w:val="left"/>
      <w:pPr>
        <w:ind w:left="1850" w:hanging="432"/>
      </w:pPr>
      <w:rPr>
        <w:rFonts w:hint="default"/>
      </w:rPr>
    </w:lvl>
    <w:lvl w:ilvl="2">
      <w:start w:val="1"/>
      <w:numFmt w:val="decimal"/>
      <w:pStyle w:val="Titre3"/>
      <w:lvlText w:val="%1.%2.%3."/>
      <w:lvlJc w:val="left"/>
      <w:pPr>
        <w:ind w:left="1224" w:hanging="504"/>
      </w:pPr>
      <w:rPr>
        <w:rFonts w:hint="default"/>
      </w:rPr>
    </w:lvl>
    <w:lvl w:ilvl="3">
      <w:start w:val="1"/>
      <w:numFmt w:val="decimal"/>
      <w:pStyle w:val="Titre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64652FE7"/>
    <w:multiLevelType w:val="multilevel"/>
    <w:tmpl w:val="12303926"/>
    <w:lvl w:ilvl="0">
      <w:numFmt w:val="decimal"/>
      <w:lvlText w:val="%1."/>
      <w:lvlJc w:val="left"/>
      <w:pPr>
        <w:ind w:left="502" w:hanging="360"/>
      </w:pPr>
    </w:lvl>
    <w:lvl w:ilvl="1">
      <w:start w:val="1"/>
      <w:numFmt w:val="decimal"/>
      <w:lvlText w:val="%1.%2."/>
      <w:lvlJc w:val="left"/>
      <w:pPr>
        <w:ind w:left="1850"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65430178"/>
    <w:multiLevelType w:val="hybridMultilevel"/>
    <w:tmpl w:val="72164D56"/>
    <w:lvl w:ilvl="0" w:tplc="080C0001">
      <w:start w:val="1"/>
      <w:numFmt w:val="bullet"/>
      <w:lvlText w:val=""/>
      <w:lvlJc w:val="left"/>
      <w:pPr>
        <w:ind w:left="1068" w:hanging="360"/>
      </w:pPr>
      <w:rPr>
        <w:rFonts w:ascii="Symbol" w:hAnsi="Symbol" w:hint="default"/>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78" w15:restartNumberingAfterBreak="0">
    <w:nsid w:val="682E0AA1"/>
    <w:multiLevelType w:val="hybridMultilevel"/>
    <w:tmpl w:val="73367C96"/>
    <w:lvl w:ilvl="0" w:tplc="08090001">
      <w:start w:val="1"/>
      <w:numFmt w:val="bullet"/>
      <w:lvlText w:val=""/>
      <w:lvlJc w:val="left"/>
      <w:pPr>
        <w:ind w:left="720" w:hanging="360"/>
      </w:pPr>
      <w:rPr>
        <w:rFonts w:ascii="Symbol" w:hAnsi="Symbol" w:hint="default"/>
      </w:rPr>
    </w:lvl>
    <w:lvl w:ilvl="1" w:tplc="F93E4D24">
      <w:start w:val="1"/>
      <w:numFmt w:val="bullet"/>
      <w:lvlText w:val="–"/>
      <w:lvlJc w:val="left"/>
      <w:pPr>
        <w:ind w:left="1440" w:hanging="360"/>
      </w:pPr>
      <w:rPr>
        <w:rFonts w:ascii="Aptos" w:eastAsia="Segoe UI" w:hAnsi="Aptos" w:cs="Segoe U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8432EDB"/>
    <w:multiLevelType w:val="hybridMultilevel"/>
    <w:tmpl w:val="704C7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98B3E58"/>
    <w:multiLevelType w:val="multilevel"/>
    <w:tmpl w:val="CF0CA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A157467"/>
    <w:multiLevelType w:val="multilevel"/>
    <w:tmpl w:val="5B02E9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A2726A4"/>
    <w:multiLevelType w:val="hybridMultilevel"/>
    <w:tmpl w:val="40044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B48071D"/>
    <w:multiLevelType w:val="hybridMultilevel"/>
    <w:tmpl w:val="30580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C3320F2"/>
    <w:multiLevelType w:val="multilevel"/>
    <w:tmpl w:val="14C89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6C6372F3"/>
    <w:multiLevelType w:val="hybridMultilevel"/>
    <w:tmpl w:val="653AD8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6" w15:restartNumberingAfterBreak="0">
    <w:nsid w:val="6E0634AD"/>
    <w:multiLevelType w:val="multilevel"/>
    <w:tmpl w:val="CF0CA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E487EBE"/>
    <w:multiLevelType w:val="hybridMultilevel"/>
    <w:tmpl w:val="0EB81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006437D"/>
    <w:multiLevelType w:val="hybridMultilevel"/>
    <w:tmpl w:val="4B2A20FC"/>
    <w:lvl w:ilvl="0" w:tplc="B0EAB22E">
      <w:start w:val="1"/>
      <w:numFmt w:val="bullet"/>
      <w:lvlText w:val="·"/>
      <w:lvlJc w:val="left"/>
      <w:pPr>
        <w:ind w:left="720" w:hanging="360"/>
      </w:pPr>
      <w:rPr>
        <w:rFonts w:ascii="Symbol" w:hAnsi="Symbol" w:hint="default"/>
      </w:rPr>
    </w:lvl>
    <w:lvl w:ilvl="1" w:tplc="3E0A6E1A">
      <w:start w:val="1"/>
      <w:numFmt w:val="bullet"/>
      <w:lvlText w:val="o"/>
      <w:lvlJc w:val="left"/>
      <w:pPr>
        <w:ind w:left="1440" w:hanging="360"/>
      </w:pPr>
      <w:rPr>
        <w:rFonts w:ascii="Courier New" w:hAnsi="Courier New" w:hint="default"/>
      </w:rPr>
    </w:lvl>
    <w:lvl w:ilvl="2" w:tplc="480C78B6">
      <w:start w:val="1"/>
      <w:numFmt w:val="bullet"/>
      <w:lvlText w:val=""/>
      <w:lvlJc w:val="left"/>
      <w:pPr>
        <w:ind w:left="2160" w:hanging="360"/>
      </w:pPr>
      <w:rPr>
        <w:rFonts w:ascii="Wingdings" w:hAnsi="Wingdings" w:hint="default"/>
      </w:rPr>
    </w:lvl>
    <w:lvl w:ilvl="3" w:tplc="3F1EE128">
      <w:start w:val="1"/>
      <w:numFmt w:val="bullet"/>
      <w:lvlText w:val=""/>
      <w:lvlJc w:val="left"/>
      <w:pPr>
        <w:ind w:left="2880" w:hanging="360"/>
      </w:pPr>
      <w:rPr>
        <w:rFonts w:ascii="Symbol" w:hAnsi="Symbol" w:hint="default"/>
      </w:rPr>
    </w:lvl>
    <w:lvl w:ilvl="4" w:tplc="66C2C0AA">
      <w:start w:val="1"/>
      <w:numFmt w:val="bullet"/>
      <w:lvlText w:val="o"/>
      <w:lvlJc w:val="left"/>
      <w:pPr>
        <w:ind w:left="3600" w:hanging="360"/>
      </w:pPr>
      <w:rPr>
        <w:rFonts w:ascii="Courier New" w:hAnsi="Courier New" w:hint="default"/>
      </w:rPr>
    </w:lvl>
    <w:lvl w:ilvl="5" w:tplc="B1709FF4">
      <w:start w:val="1"/>
      <w:numFmt w:val="bullet"/>
      <w:lvlText w:val=""/>
      <w:lvlJc w:val="left"/>
      <w:pPr>
        <w:ind w:left="4320" w:hanging="360"/>
      </w:pPr>
      <w:rPr>
        <w:rFonts w:ascii="Wingdings" w:hAnsi="Wingdings" w:hint="default"/>
      </w:rPr>
    </w:lvl>
    <w:lvl w:ilvl="6" w:tplc="03B47DDA">
      <w:start w:val="1"/>
      <w:numFmt w:val="bullet"/>
      <w:lvlText w:val=""/>
      <w:lvlJc w:val="left"/>
      <w:pPr>
        <w:ind w:left="5040" w:hanging="360"/>
      </w:pPr>
      <w:rPr>
        <w:rFonts w:ascii="Symbol" w:hAnsi="Symbol" w:hint="default"/>
      </w:rPr>
    </w:lvl>
    <w:lvl w:ilvl="7" w:tplc="BBCC2322">
      <w:start w:val="1"/>
      <w:numFmt w:val="bullet"/>
      <w:lvlText w:val="o"/>
      <w:lvlJc w:val="left"/>
      <w:pPr>
        <w:ind w:left="5760" w:hanging="360"/>
      </w:pPr>
      <w:rPr>
        <w:rFonts w:ascii="Courier New" w:hAnsi="Courier New" w:hint="default"/>
      </w:rPr>
    </w:lvl>
    <w:lvl w:ilvl="8" w:tplc="23605CAA">
      <w:start w:val="1"/>
      <w:numFmt w:val="bullet"/>
      <w:lvlText w:val=""/>
      <w:lvlJc w:val="left"/>
      <w:pPr>
        <w:ind w:left="6480" w:hanging="360"/>
      </w:pPr>
      <w:rPr>
        <w:rFonts w:ascii="Wingdings" w:hAnsi="Wingdings" w:hint="default"/>
      </w:rPr>
    </w:lvl>
  </w:abstractNum>
  <w:abstractNum w:abstractNumId="89" w15:restartNumberingAfterBreak="0">
    <w:nsid w:val="715D4476"/>
    <w:multiLevelType w:val="hybridMultilevel"/>
    <w:tmpl w:val="CE0ADD1C"/>
    <w:lvl w:ilvl="0" w:tplc="08090001">
      <w:start w:val="1"/>
      <w:numFmt w:val="bullet"/>
      <w:lvlText w:val=""/>
      <w:lvlJc w:val="left"/>
      <w:pPr>
        <w:ind w:left="720" w:hanging="360"/>
      </w:pPr>
      <w:rPr>
        <w:rFonts w:ascii="Symbol" w:hAnsi="Symbol" w:hint="default"/>
      </w:rPr>
    </w:lvl>
    <w:lvl w:ilvl="1" w:tplc="244E1BA6">
      <w:start w:val="1"/>
      <w:numFmt w:val="bullet"/>
      <w:lvlText w:val="•"/>
      <w:lvlJc w:val="left"/>
      <w:pPr>
        <w:ind w:left="1800" w:hanging="720"/>
      </w:pPr>
      <w:rPr>
        <w:rFonts w:ascii="Aptos" w:eastAsiaTheme="minorHAnsi" w:hAnsi="Apto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26D7DD0"/>
    <w:multiLevelType w:val="multilevel"/>
    <w:tmpl w:val="CF0CA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3B008A3"/>
    <w:multiLevelType w:val="multilevel"/>
    <w:tmpl w:val="2EB89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74564F2F"/>
    <w:multiLevelType w:val="multilevel"/>
    <w:tmpl w:val="53DEC17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3" w15:restartNumberingAfterBreak="0">
    <w:nsid w:val="74577F05"/>
    <w:multiLevelType w:val="multilevel"/>
    <w:tmpl w:val="CF0CA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5801087"/>
    <w:multiLevelType w:val="multilevel"/>
    <w:tmpl w:val="DEC23664"/>
    <w:lvl w:ilvl="0">
      <w:start w:val="1"/>
      <w:numFmt w:val="none"/>
      <w:lvlText w:val="6"/>
      <w:lvlJc w:val="left"/>
      <w:pPr>
        <w:ind w:left="360" w:hanging="360"/>
      </w:pPr>
      <w:rPr>
        <w:rFonts w:hint="default"/>
      </w:rPr>
    </w:lvl>
    <w:lvl w:ilvl="1">
      <w:start w:val="1"/>
      <w:numFmt w:val="decimal"/>
      <w:lvlText w:val="5.%2"/>
      <w:lvlJc w:val="left"/>
      <w:pPr>
        <w:ind w:left="431"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368" w:hanging="1800"/>
      </w:pPr>
      <w:rPr>
        <w:rFonts w:hint="default"/>
      </w:rPr>
    </w:lvl>
  </w:abstractNum>
  <w:abstractNum w:abstractNumId="95" w15:restartNumberingAfterBreak="0">
    <w:nsid w:val="777E0084"/>
    <w:multiLevelType w:val="multilevel"/>
    <w:tmpl w:val="CF0CA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7C16D42"/>
    <w:multiLevelType w:val="hybridMultilevel"/>
    <w:tmpl w:val="AE50C696"/>
    <w:lvl w:ilvl="0" w:tplc="08090001">
      <w:start w:val="1"/>
      <w:numFmt w:val="bullet"/>
      <w:lvlText w:val=""/>
      <w:lvlJc w:val="left"/>
      <w:pPr>
        <w:ind w:left="745" w:hanging="360"/>
      </w:pPr>
      <w:rPr>
        <w:rFonts w:ascii="Symbol" w:hAnsi="Symbol" w:hint="default"/>
      </w:rPr>
    </w:lvl>
    <w:lvl w:ilvl="1" w:tplc="08090003" w:tentative="1">
      <w:start w:val="1"/>
      <w:numFmt w:val="bullet"/>
      <w:lvlText w:val="o"/>
      <w:lvlJc w:val="left"/>
      <w:pPr>
        <w:ind w:left="1465" w:hanging="360"/>
      </w:pPr>
      <w:rPr>
        <w:rFonts w:ascii="Courier New" w:hAnsi="Courier New" w:cs="Courier New" w:hint="default"/>
      </w:rPr>
    </w:lvl>
    <w:lvl w:ilvl="2" w:tplc="08090005" w:tentative="1">
      <w:start w:val="1"/>
      <w:numFmt w:val="bullet"/>
      <w:lvlText w:val=""/>
      <w:lvlJc w:val="left"/>
      <w:pPr>
        <w:ind w:left="2185" w:hanging="360"/>
      </w:pPr>
      <w:rPr>
        <w:rFonts w:ascii="Wingdings" w:hAnsi="Wingdings" w:hint="default"/>
      </w:rPr>
    </w:lvl>
    <w:lvl w:ilvl="3" w:tplc="08090001" w:tentative="1">
      <w:start w:val="1"/>
      <w:numFmt w:val="bullet"/>
      <w:lvlText w:val=""/>
      <w:lvlJc w:val="left"/>
      <w:pPr>
        <w:ind w:left="2905" w:hanging="360"/>
      </w:pPr>
      <w:rPr>
        <w:rFonts w:ascii="Symbol" w:hAnsi="Symbol" w:hint="default"/>
      </w:rPr>
    </w:lvl>
    <w:lvl w:ilvl="4" w:tplc="08090003" w:tentative="1">
      <w:start w:val="1"/>
      <w:numFmt w:val="bullet"/>
      <w:lvlText w:val="o"/>
      <w:lvlJc w:val="left"/>
      <w:pPr>
        <w:ind w:left="3625" w:hanging="360"/>
      </w:pPr>
      <w:rPr>
        <w:rFonts w:ascii="Courier New" w:hAnsi="Courier New" w:cs="Courier New" w:hint="default"/>
      </w:rPr>
    </w:lvl>
    <w:lvl w:ilvl="5" w:tplc="08090005" w:tentative="1">
      <w:start w:val="1"/>
      <w:numFmt w:val="bullet"/>
      <w:lvlText w:val=""/>
      <w:lvlJc w:val="left"/>
      <w:pPr>
        <w:ind w:left="4345" w:hanging="360"/>
      </w:pPr>
      <w:rPr>
        <w:rFonts w:ascii="Wingdings" w:hAnsi="Wingdings" w:hint="default"/>
      </w:rPr>
    </w:lvl>
    <w:lvl w:ilvl="6" w:tplc="08090001" w:tentative="1">
      <w:start w:val="1"/>
      <w:numFmt w:val="bullet"/>
      <w:lvlText w:val=""/>
      <w:lvlJc w:val="left"/>
      <w:pPr>
        <w:ind w:left="5065" w:hanging="360"/>
      </w:pPr>
      <w:rPr>
        <w:rFonts w:ascii="Symbol" w:hAnsi="Symbol" w:hint="default"/>
      </w:rPr>
    </w:lvl>
    <w:lvl w:ilvl="7" w:tplc="08090003" w:tentative="1">
      <w:start w:val="1"/>
      <w:numFmt w:val="bullet"/>
      <w:lvlText w:val="o"/>
      <w:lvlJc w:val="left"/>
      <w:pPr>
        <w:ind w:left="5785" w:hanging="360"/>
      </w:pPr>
      <w:rPr>
        <w:rFonts w:ascii="Courier New" w:hAnsi="Courier New" w:cs="Courier New" w:hint="default"/>
      </w:rPr>
    </w:lvl>
    <w:lvl w:ilvl="8" w:tplc="08090005" w:tentative="1">
      <w:start w:val="1"/>
      <w:numFmt w:val="bullet"/>
      <w:lvlText w:val=""/>
      <w:lvlJc w:val="left"/>
      <w:pPr>
        <w:ind w:left="6505" w:hanging="360"/>
      </w:pPr>
      <w:rPr>
        <w:rFonts w:ascii="Wingdings" w:hAnsi="Wingdings" w:hint="default"/>
      </w:rPr>
    </w:lvl>
  </w:abstractNum>
  <w:abstractNum w:abstractNumId="97" w15:restartNumberingAfterBreak="0">
    <w:nsid w:val="7A060782"/>
    <w:multiLevelType w:val="hybridMultilevel"/>
    <w:tmpl w:val="409CFA7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8" w15:restartNumberingAfterBreak="0">
    <w:nsid w:val="7BEE39A9"/>
    <w:multiLevelType w:val="hybridMultilevel"/>
    <w:tmpl w:val="D5B037F8"/>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9" w15:restartNumberingAfterBreak="0">
    <w:nsid w:val="7BF007E9"/>
    <w:multiLevelType w:val="hybridMultilevel"/>
    <w:tmpl w:val="436A8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C0D6116"/>
    <w:multiLevelType w:val="hybridMultilevel"/>
    <w:tmpl w:val="9C782C5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1" w15:restartNumberingAfterBreak="0">
    <w:nsid w:val="7CE4024A"/>
    <w:multiLevelType w:val="hybridMultilevel"/>
    <w:tmpl w:val="6652E04A"/>
    <w:lvl w:ilvl="0" w:tplc="0809000F">
      <w:start w:val="1"/>
      <w:numFmt w:val="decimal"/>
      <w:lvlText w:val="%1."/>
      <w:lvlJc w:val="left"/>
      <w:pPr>
        <w:ind w:left="38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7D84036A"/>
    <w:multiLevelType w:val="hybridMultilevel"/>
    <w:tmpl w:val="AC98D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7E59701B"/>
    <w:multiLevelType w:val="multilevel"/>
    <w:tmpl w:val="4CFA6518"/>
    <w:lvl w:ilvl="0">
      <w:start w:val="1"/>
      <w:numFmt w:val="bullet"/>
      <w:lvlText w:val=""/>
      <w:lvlJc w:val="left"/>
      <w:pPr>
        <w:ind w:left="360" w:hanging="360"/>
      </w:pPr>
      <w:rPr>
        <w:rFonts w:ascii="Symbol" w:hAnsi="Symbol" w:hint="default"/>
      </w:rPr>
    </w:lvl>
    <w:lvl w:ilvl="1">
      <w:start w:val="1"/>
      <w:numFmt w:val="decimal"/>
      <w:lvlText w:val="5.%2"/>
      <w:lvlJc w:val="left"/>
      <w:pPr>
        <w:ind w:left="431"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368" w:hanging="1800"/>
      </w:pPr>
      <w:rPr>
        <w:rFonts w:hint="default"/>
      </w:rPr>
    </w:lvl>
  </w:abstractNum>
  <w:abstractNum w:abstractNumId="104" w15:restartNumberingAfterBreak="0">
    <w:nsid w:val="7F1C294F"/>
    <w:multiLevelType w:val="hybridMultilevel"/>
    <w:tmpl w:val="E1FAC8D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336961974">
    <w:abstractNumId w:val="37"/>
  </w:num>
  <w:num w:numId="2" w16cid:durableId="1028919565">
    <w:abstractNumId w:val="44"/>
  </w:num>
  <w:num w:numId="3" w16cid:durableId="1400595687">
    <w:abstractNumId w:val="6"/>
  </w:num>
  <w:num w:numId="4" w16cid:durableId="353001941">
    <w:abstractNumId w:val="62"/>
  </w:num>
  <w:num w:numId="5" w16cid:durableId="176845348">
    <w:abstractNumId w:val="77"/>
  </w:num>
  <w:num w:numId="6" w16cid:durableId="1557159817">
    <w:abstractNumId w:val="71"/>
  </w:num>
  <w:num w:numId="7" w16cid:durableId="1116876243">
    <w:abstractNumId w:val="38"/>
  </w:num>
  <w:num w:numId="8" w16cid:durableId="1385331665">
    <w:abstractNumId w:val="49"/>
  </w:num>
  <w:num w:numId="9" w16cid:durableId="1534075341">
    <w:abstractNumId w:val="81"/>
  </w:num>
  <w:num w:numId="10" w16cid:durableId="936249997">
    <w:abstractNumId w:val="7"/>
  </w:num>
  <w:num w:numId="11" w16cid:durableId="1829855634">
    <w:abstractNumId w:val="68"/>
  </w:num>
  <w:num w:numId="12" w16cid:durableId="597368055">
    <w:abstractNumId w:val="95"/>
  </w:num>
  <w:num w:numId="13" w16cid:durableId="895162668">
    <w:abstractNumId w:val="67"/>
  </w:num>
  <w:num w:numId="14" w16cid:durableId="1975476467">
    <w:abstractNumId w:val="16"/>
  </w:num>
  <w:num w:numId="15" w16cid:durableId="977878425">
    <w:abstractNumId w:val="57"/>
  </w:num>
  <w:num w:numId="16" w16cid:durableId="968127472">
    <w:abstractNumId w:val="2"/>
  </w:num>
  <w:num w:numId="17" w16cid:durableId="1672492535">
    <w:abstractNumId w:val="93"/>
  </w:num>
  <w:num w:numId="18" w16cid:durableId="899292850">
    <w:abstractNumId w:val="64"/>
  </w:num>
  <w:num w:numId="19" w16cid:durableId="2036997445">
    <w:abstractNumId w:val="8"/>
  </w:num>
  <w:num w:numId="20" w16cid:durableId="215244523">
    <w:abstractNumId w:val="29"/>
  </w:num>
  <w:num w:numId="21" w16cid:durableId="836530470">
    <w:abstractNumId w:val="9"/>
  </w:num>
  <w:num w:numId="22" w16cid:durableId="693337395">
    <w:abstractNumId w:val="86"/>
  </w:num>
  <w:num w:numId="23" w16cid:durableId="5862292">
    <w:abstractNumId w:val="46"/>
  </w:num>
  <w:num w:numId="24" w16cid:durableId="205914235">
    <w:abstractNumId w:val="17"/>
  </w:num>
  <w:num w:numId="25" w16cid:durableId="1260524682">
    <w:abstractNumId w:val="34"/>
  </w:num>
  <w:num w:numId="26" w16cid:durableId="1774285240">
    <w:abstractNumId w:val="90"/>
  </w:num>
  <w:num w:numId="27" w16cid:durableId="377510177">
    <w:abstractNumId w:val="4"/>
  </w:num>
  <w:num w:numId="28" w16cid:durableId="1209296017">
    <w:abstractNumId w:val="80"/>
  </w:num>
  <w:num w:numId="29" w16cid:durableId="788663008">
    <w:abstractNumId w:val="92"/>
  </w:num>
  <w:num w:numId="30" w16cid:durableId="269437670">
    <w:abstractNumId w:val="23"/>
  </w:num>
  <w:num w:numId="31" w16cid:durableId="862404758">
    <w:abstractNumId w:val="13"/>
  </w:num>
  <w:num w:numId="32" w16cid:durableId="283268413">
    <w:abstractNumId w:val="60"/>
  </w:num>
  <w:num w:numId="33" w16cid:durableId="1343779060">
    <w:abstractNumId w:val="0"/>
  </w:num>
  <w:num w:numId="34" w16cid:durableId="1022055758">
    <w:abstractNumId w:val="69"/>
  </w:num>
  <w:num w:numId="35" w16cid:durableId="847787947">
    <w:abstractNumId w:val="59"/>
  </w:num>
  <w:num w:numId="36" w16cid:durableId="1053306251">
    <w:abstractNumId w:val="79"/>
  </w:num>
  <w:num w:numId="37" w16cid:durableId="1879778960">
    <w:abstractNumId w:val="15"/>
  </w:num>
  <w:num w:numId="38" w16cid:durableId="2037805971">
    <w:abstractNumId w:val="30"/>
  </w:num>
  <w:num w:numId="39" w16cid:durableId="2093970872">
    <w:abstractNumId w:val="73"/>
  </w:num>
  <w:num w:numId="40" w16cid:durableId="226500675">
    <w:abstractNumId w:val="82"/>
  </w:num>
  <w:num w:numId="41" w16cid:durableId="1310668988">
    <w:abstractNumId w:val="55"/>
  </w:num>
  <w:num w:numId="42" w16cid:durableId="2038696789">
    <w:abstractNumId w:val="83"/>
  </w:num>
  <w:num w:numId="43" w16cid:durableId="1590847731">
    <w:abstractNumId w:val="1"/>
  </w:num>
  <w:num w:numId="44" w16cid:durableId="8415536">
    <w:abstractNumId w:val="28"/>
  </w:num>
  <w:num w:numId="45" w16cid:durableId="2135829972">
    <w:abstractNumId w:val="70"/>
  </w:num>
  <w:num w:numId="46" w16cid:durableId="1812626434">
    <w:abstractNumId w:val="31"/>
  </w:num>
  <w:num w:numId="47" w16cid:durableId="454494906">
    <w:abstractNumId w:val="43"/>
  </w:num>
  <w:num w:numId="48" w16cid:durableId="924730431">
    <w:abstractNumId w:val="87"/>
  </w:num>
  <w:num w:numId="49" w16cid:durableId="1293636017">
    <w:abstractNumId w:val="41"/>
  </w:num>
  <w:num w:numId="50" w16cid:durableId="629943168">
    <w:abstractNumId w:val="99"/>
  </w:num>
  <w:num w:numId="51" w16cid:durableId="81924795">
    <w:abstractNumId w:val="42"/>
  </w:num>
  <w:num w:numId="52" w16cid:durableId="596865626">
    <w:abstractNumId w:val="39"/>
  </w:num>
  <w:num w:numId="53" w16cid:durableId="252134003">
    <w:abstractNumId w:val="21"/>
  </w:num>
  <w:num w:numId="54" w16cid:durableId="834609275">
    <w:abstractNumId w:val="3"/>
  </w:num>
  <w:num w:numId="55" w16cid:durableId="1617711360">
    <w:abstractNumId w:val="61"/>
  </w:num>
  <w:num w:numId="56" w16cid:durableId="302396084">
    <w:abstractNumId w:val="94"/>
  </w:num>
  <w:num w:numId="57" w16cid:durableId="927301605">
    <w:abstractNumId w:val="66"/>
  </w:num>
  <w:num w:numId="58" w16cid:durableId="1889029672">
    <w:abstractNumId w:val="35"/>
  </w:num>
  <w:num w:numId="59" w16cid:durableId="854928504">
    <w:abstractNumId w:val="37"/>
  </w:num>
  <w:num w:numId="60" w16cid:durableId="1972711340">
    <w:abstractNumId w:val="22"/>
  </w:num>
  <w:num w:numId="61" w16cid:durableId="70464879">
    <w:abstractNumId w:val="88"/>
  </w:num>
  <w:num w:numId="62" w16cid:durableId="1089422056">
    <w:abstractNumId w:val="32"/>
  </w:num>
  <w:num w:numId="63" w16cid:durableId="1940143184">
    <w:abstractNumId w:val="52"/>
  </w:num>
  <w:num w:numId="64" w16cid:durableId="340090905">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098788520">
    <w:abstractNumId w:val="97"/>
  </w:num>
  <w:num w:numId="66" w16cid:durableId="1308972406">
    <w:abstractNumId w:val="100"/>
  </w:num>
  <w:num w:numId="67" w16cid:durableId="2146117332">
    <w:abstractNumId w:val="48"/>
  </w:num>
  <w:num w:numId="68" w16cid:durableId="1509172099">
    <w:abstractNumId w:val="65"/>
  </w:num>
  <w:num w:numId="69" w16cid:durableId="762184531">
    <w:abstractNumId w:val="50"/>
  </w:num>
  <w:num w:numId="70" w16cid:durableId="540826352">
    <w:abstractNumId w:val="84"/>
  </w:num>
  <w:num w:numId="71" w16cid:durableId="2031444685">
    <w:abstractNumId w:val="91"/>
  </w:num>
  <w:num w:numId="72" w16cid:durableId="1217622248">
    <w:abstractNumId w:val="51"/>
  </w:num>
  <w:num w:numId="73" w16cid:durableId="1697271164">
    <w:abstractNumId w:val="53"/>
  </w:num>
  <w:num w:numId="74" w16cid:durableId="1886796161">
    <w:abstractNumId w:val="104"/>
  </w:num>
  <w:num w:numId="75" w16cid:durableId="1083452869">
    <w:abstractNumId w:val="12"/>
  </w:num>
  <w:num w:numId="76" w16cid:durableId="245309545">
    <w:abstractNumId w:val="5"/>
  </w:num>
  <w:num w:numId="77" w16cid:durableId="954022735">
    <w:abstractNumId w:val="45"/>
  </w:num>
  <w:num w:numId="78" w16cid:durableId="506403204">
    <w:abstractNumId w:val="18"/>
  </w:num>
  <w:num w:numId="79" w16cid:durableId="1906840294">
    <w:abstractNumId w:val="74"/>
  </w:num>
  <w:num w:numId="80" w16cid:durableId="1239629241">
    <w:abstractNumId w:val="20"/>
  </w:num>
  <w:num w:numId="81" w16cid:durableId="286469049">
    <w:abstractNumId w:val="26"/>
  </w:num>
  <w:num w:numId="82" w16cid:durableId="1249771942">
    <w:abstractNumId w:val="27"/>
  </w:num>
  <w:num w:numId="83" w16cid:durableId="366956436">
    <w:abstractNumId w:val="47"/>
  </w:num>
  <w:num w:numId="84" w16cid:durableId="1979803051">
    <w:abstractNumId w:val="24"/>
  </w:num>
  <w:num w:numId="85" w16cid:durableId="1875078187">
    <w:abstractNumId w:val="101"/>
  </w:num>
  <w:num w:numId="86" w16cid:durableId="614094766">
    <w:abstractNumId w:val="89"/>
  </w:num>
  <w:num w:numId="87" w16cid:durableId="1051726889">
    <w:abstractNumId w:val="63"/>
  </w:num>
  <w:num w:numId="88" w16cid:durableId="1667516471">
    <w:abstractNumId w:val="33"/>
  </w:num>
  <w:num w:numId="89" w16cid:durableId="1919635637">
    <w:abstractNumId w:val="96"/>
  </w:num>
  <w:num w:numId="90" w16cid:durableId="156265875">
    <w:abstractNumId w:val="72"/>
  </w:num>
  <w:num w:numId="91" w16cid:durableId="1994672033">
    <w:abstractNumId w:val="58"/>
  </w:num>
  <w:num w:numId="92" w16cid:durableId="1209803412">
    <w:abstractNumId w:val="36"/>
  </w:num>
  <w:num w:numId="93" w16cid:durableId="343173443">
    <w:abstractNumId w:val="85"/>
  </w:num>
  <w:num w:numId="94" w16cid:durableId="1209535611">
    <w:abstractNumId w:val="98"/>
  </w:num>
  <w:num w:numId="95" w16cid:durableId="380717092">
    <w:abstractNumId w:val="25"/>
  </w:num>
  <w:num w:numId="96" w16cid:durableId="783886774">
    <w:abstractNumId w:val="78"/>
  </w:num>
  <w:num w:numId="97" w16cid:durableId="1186669998">
    <w:abstractNumId w:val="11"/>
  </w:num>
  <w:num w:numId="98" w16cid:durableId="397825733">
    <w:abstractNumId w:val="102"/>
  </w:num>
  <w:num w:numId="99" w16cid:durableId="1527711183">
    <w:abstractNumId w:val="14"/>
  </w:num>
  <w:num w:numId="100" w16cid:durableId="2115711247">
    <w:abstractNumId w:val="10"/>
  </w:num>
  <w:num w:numId="101" w16cid:durableId="551237466">
    <w:abstractNumId w:val="56"/>
  </w:num>
  <w:num w:numId="102" w16cid:durableId="1753240659">
    <w:abstractNumId w:val="40"/>
  </w:num>
  <w:num w:numId="103" w16cid:durableId="333186803">
    <w:abstractNumId w:val="54"/>
  </w:num>
  <w:num w:numId="104" w16cid:durableId="20134529">
    <w:abstractNumId w:val="103"/>
  </w:num>
  <w:num w:numId="105" w16cid:durableId="220556525">
    <w:abstractNumId w:val="37"/>
  </w:num>
  <w:num w:numId="106" w16cid:durableId="1670399302">
    <w:abstractNumId w:val="76"/>
  </w:num>
  <w:num w:numId="107" w16cid:durableId="1649165869">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430321772">
    <w:abstractNumId w:val="75"/>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21E"/>
    <w:rsid w:val="000006CE"/>
    <w:rsid w:val="000022B9"/>
    <w:rsid w:val="00003DCD"/>
    <w:rsid w:val="000049A5"/>
    <w:rsid w:val="00004A59"/>
    <w:rsid w:val="00005257"/>
    <w:rsid w:val="00005707"/>
    <w:rsid w:val="000060D0"/>
    <w:rsid w:val="000069AD"/>
    <w:rsid w:val="00006A87"/>
    <w:rsid w:val="00007B21"/>
    <w:rsid w:val="00007F56"/>
    <w:rsid w:val="00010184"/>
    <w:rsid w:val="00011083"/>
    <w:rsid w:val="000113C7"/>
    <w:rsid w:val="00012551"/>
    <w:rsid w:val="00012904"/>
    <w:rsid w:val="00013E8C"/>
    <w:rsid w:val="000140FC"/>
    <w:rsid w:val="000146C4"/>
    <w:rsid w:val="000153A5"/>
    <w:rsid w:val="00016246"/>
    <w:rsid w:val="0002047A"/>
    <w:rsid w:val="00022689"/>
    <w:rsid w:val="00022D68"/>
    <w:rsid w:val="00022EB5"/>
    <w:rsid w:val="000231C1"/>
    <w:rsid w:val="00023E6A"/>
    <w:rsid w:val="00023F67"/>
    <w:rsid w:val="000276BA"/>
    <w:rsid w:val="000313DC"/>
    <w:rsid w:val="00031928"/>
    <w:rsid w:val="0003391A"/>
    <w:rsid w:val="00034343"/>
    <w:rsid w:val="000347BC"/>
    <w:rsid w:val="000353EE"/>
    <w:rsid w:val="00040625"/>
    <w:rsid w:val="00040798"/>
    <w:rsid w:val="000410F0"/>
    <w:rsid w:val="000421B8"/>
    <w:rsid w:val="00042BE7"/>
    <w:rsid w:val="00044761"/>
    <w:rsid w:val="00044D6C"/>
    <w:rsid w:val="00045F2C"/>
    <w:rsid w:val="00046A37"/>
    <w:rsid w:val="00046D74"/>
    <w:rsid w:val="00046F1D"/>
    <w:rsid w:val="000471BC"/>
    <w:rsid w:val="000472C4"/>
    <w:rsid w:val="00047E63"/>
    <w:rsid w:val="00054109"/>
    <w:rsid w:val="0005521A"/>
    <w:rsid w:val="000564A0"/>
    <w:rsid w:val="00062966"/>
    <w:rsid w:val="00062B05"/>
    <w:rsid w:val="000640D1"/>
    <w:rsid w:val="000666CD"/>
    <w:rsid w:val="00066991"/>
    <w:rsid w:val="000674CC"/>
    <w:rsid w:val="00067503"/>
    <w:rsid w:val="0007125A"/>
    <w:rsid w:val="00071B0D"/>
    <w:rsid w:val="00072046"/>
    <w:rsid w:val="00072359"/>
    <w:rsid w:val="000726A0"/>
    <w:rsid w:val="00073278"/>
    <w:rsid w:val="00073423"/>
    <w:rsid w:val="000744E4"/>
    <w:rsid w:val="00074579"/>
    <w:rsid w:val="00074D04"/>
    <w:rsid w:val="0007607F"/>
    <w:rsid w:val="0007794F"/>
    <w:rsid w:val="00077F39"/>
    <w:rsid w:val="00082D7F"/>
    <w:rsid w:val="00083D49"/>
    <w:rsid w:val="000846F5"/>
    <w:rsid w:val="000858C4"/>
    <w:rsid w:val="00085CFF"/>
    <w:rsid w:val="00086651"/>
    <w:rsid w:val="00086CA9"/>
    <w:rsid w:val="00087413"/>
    <w:rsid w:val="000915EC"/>
    <w:rsid w:val="000923FF"/>
    <w:rsid w:val="000934B9"/>
    <w:rsid w:val="000944A8"/>
    <w:rsid w:val="00095C66"/>
    <w:rsid w:val="000963D0"/>
    <w:rsid w:val="00097295"/>
    <w:rsid w:val="0009776A"/>
    <w:rsid w:val="000A1B89"/>
    <w:rsid w:val="000A38B2"/>
    <w:rsid w:val="000A4A27"/>
    <w:rsid w:val="000A5263"/>
    <w:rsid w:val="000A6993"/>
    <w:rsid w:val="000A6A20"/>
    <w:rsid w:val="000A7721"/>
    <w:rsid w:val="000B03F6"/>
    <w:rsid w:val="000B0CA0"/>
    <w:rsid w:val="000B1095"/>
    <w:rsid w:val="000B2494"/>
    <w:rsid w:val="000B37FE"/>
    <w:rsid w:val="000B44C7"/>
    <w:rsid w:val="000B608E"/>
    <w:rsid w:val="000B75C1"/>
    <w:rsid w:val="000B7B7F"/>
    <w:rsid w:val="000C06DB"/>
    <w:rsid w:val="000C1154"/>
    <w:rsid w:val="000C11F5"/>
    <w:rsid w:val="000C26B8"/>
    <w:rsid w:val="000C2B0F"/>
    <w:rsid w:val="000C39C6"/>
    <w:rsid w:val="000C3F17"/>
    <w:rsid w:val="000C3FE0"/>
    <w:rsid w:val="000C4795"/>
    <w:rsid w:val="000C48CD"/>
    <w:rsid w:val="000C517E"/>
    <w:rsid w:val="000C5DE1"/>
    <w:rsid w:val="000C62DA"/>
    <w:rsid w:val="000C7593"/>
    <w:rsid w:val="000C7701"/>
    <w:rsid w:val="000D05FB"/>
    <w:rsid w:val="000D0800"/>
    <w:rsid w:val="000D196C"/>
    <w:rsid w:val="000D475F"/>
    <w:rsid w:val="000D6110"/>
    <w:rsid w:val="000E1DB9"/>
    <w:rsid w:val="000E2361"/>
    <w:rsid w:val="000E2ED9"/>
    <w:rsid w:val="000E339F"/>
    <w:rsid w:val="000E39B4"/>
    <w:rsid w:val="000E4321"/>
    <w:rsid w:val="000E518E"/>
    <w:rsid w:val="000E51DA"/>
    <w:rsid w:val="000E733E"/>
    <w:rsid w:val="000E759C"/>
    <w:rsid w:val="000F0679"/>
    <w:rsid w:val="000F2B38"/>
    <w:rsid w:val="000F3E8E"/>
    <w:rsid w:val="000F4ADB"/>
    <w:rsid w:val="000F7E48"/>
    <w:rsid w:val="001009CD"/>
    <w:rsid w:val="0010117C"/>
    <w:rsid w:val="001015AC"/>
    <w:rsid w:val="00101798"/>
    <w:rsid w:val="001019A5"/>
    <w:rsid w:val="00101B53"/>
    <w:rsid w:val="0010469C"/>
    <w:rsid w:val="001067D4"/>
    <w:rsid w:val="00112646"/>
    <w:rsid w:val="00112944"/>
    <w:rsid w:val="001129DF"/>
    <w:rsid w:val="0011462B"/>
    <w:rsid w:val="00115590"/>
    <w:rsid w:val="00117083"/>
    <w:rsid w:val="001174A2"/>
    <w:rsid w:val="00122494"/>
    <w:rsid w:val="00123F4C"/>
    <w:rsid w:val="00123FA7"/>
    <w:rsid w:val="001276A9"/>
    <w:rsid w:val="00127AE4"/>
    <w:rsid w:val="00127D15"/>
    <w:rsid w:val="0013176E"/>
    <w:rsid w:val="00131B77"/>
    <w:rsid w:val="001329B5"/>
    <w:rsid w:val="001346E7"/>
    <w:rsid w:val="00134C67"/>
    <w:rsid w:val="001356E3"/>
    <w:rsid w:val="001365BC"/>
    <w:rsid w:val="00137094"/>
    <w:rsid w:val="00137540"/>
    <w:rsid w:val="00142AEE"/>
    <w:rsid w:val="00142EAD"/>
    <w:rsid w:val="00143592"/>
    <w:rsid w:val="00144309"/>
    <w:rsid w:val="00145516"/>
    <w:rsid w:val="00145FC7"/>
    <w:rsid w:val="00147420"/>
    <w:rsid w:val="00147B45"/>
    <w:rsid w:val="0015180E"/>
    <w:rsid w:val="00151D79"/>
    <w:rsid w:val="00152D30"/>
    <w:rsid w:val="00154915"/>
    <w:rsid w:val="00154D7E"/>
    <w:rsid w:val="00155E67"/>
    <w:rsid w:val="00155E88"/>
    <w:rsid w:val="00157638"/>
    <w:rsid w:val="00157F47"/>
    <w:rsid w:val="00157FDC"/>
    <w:rsid w:val="00163595"/>
    <w:rsid w:val="00164034"/>
    <w:rsid w:val="00165C2F"/>
    <w:rsid w:val="00166324"/>
    <w:rsid w:val="00167A93"/>
    <w:rsid w:val="00167BA2"/>
    <w:rsid w:val="00167DAB"/>
    <w:rsid w:val="00170E70"/>
    <w:rsid w:val="001711D7"/>
    <w:rsid w:val="0017179F"/>
    <w:rsid w:val="001726C6"/>
    <w:rsid w:val="001753D2"/>
    <w:rsid w:val="0017699D"/>
    <w:rsid w:val="0017717B"/>
    <w:rsid w:val="00177AC0"/>
    <w:rsid w:val="00181012"/>
    <w:rsid w:val="00183453"/>
    <w:rsid w:val="0018567C"/>
    <w:rsid w:val="001857FD"/>
    <w:rsid w:val="0018643C"/>
    <w:rsid w:val="001871BB"/>
    <w:rsid w:val="001922DA"/>
    <w:rsid w:val="0019420E"/>
    <w:rsid w:val="00194DC0"/>
    <w:rsid w:val="00194F80"/>
    <w:rsid w:val="001967BD"/>
    <w:rsid w:val="00196DA9"/>
    <w:rsid w:val="00197679"/>
    <w:rsid w:val="00197A73"/>
    <w:rsid w:val="00197C34"/>
    <w:rsid w:val="001A0207"/>
    <w:rsid w:val="001A0914"/>
    <w:rsid w:val="001A2892"/>
    <w:rsid w:val="001A2D48"/>
    <w:rsid w:val="001A3182"/>
    <w:rsid w:val="001A4259"/>
    <w:rsid w:val="001A4EA5"/>
    <w:rsid w:val="001A4F70"/>
    <w:rsid w:val="001A5435"/>
    <w:rsid w:val="001A6346"/>
    <w:rsid w:val="001B31C6"/>
    <w:rsid w:val="001B3F6F"/>
    <w:rsid w:val="001B44E9"/>
    <w:rsid w:val="001B49E2"/>
    <w:rsid w:val="001B56EF"/>
    <w:rsid w:val="001B6A59"/>
    <w:rsid w:val="001C27F0"/>
    <w:rsid w:val="001C2B4A"/>
    <w:rsid w:val="001C6A45"/>
    <w:rsid w:val="001C77EC"/>
    <w:rsid w:val="001D2289"/>
    <w:rsid w:val="001D2EC7"/>
    <w:rsid w:val="001D34C8"/>
    <w:rsid w:val="001D3CF3"/>
    <w:rsid w:val="001D4165"/>
    <w:rsid w:val="001D4321"/>
    <w:rsid w:val="001D4BE4"/>
    <w:rsid w:val="001D5B98"/>
    <w:rsid w:val="001D7D9B"/>
    <w:rsid w:val="001E2731"/>
    <w:rsid w:val="001E2C54"/>
    <w:rsid w:val="001E405F"/>
    <w:rsid w:val="001E5B2B"/>
    <w:rsid w:val="001E5CE3"/>
    <w:rsid w:val="001E5D8C"/>
    <w:rsid w:val="001E5F70"/>
    <w:rsid w:val="001E7953"/>
    <w:rsid w:val="001F2F4A"/>
    <w:rsid w:val="001F33CE"/>
    <w:rsid w:val="001F5618"/>
    <w:rsid w:val="001F59A4"/>
    <w:rsid w:val="001F5B98"/>
    <w:rsid w:val="001F6429"/>
    <w:rsid w:val="001F64BB"/>
    <w:rsid w:val="001F6765"/>
    <w:rsid w:val="002030BE"/>
    <w:rsid w:val="00203DB5"/>
    <w:rsid w:val="00203E5E"/>
    <w:rsid w:val="002071F4"/>
    <w:rsid w:val="00210048"/>
    <w:rsid w:val="002109C7"/>
    <w:rsid w:val="002115B6"/>
    <w:rsid w:val="00212732"/>
    <w:rsid w:val="00213173"/>
    <w:rsid w:val="00214109"/>
    <w:rsid w:val="002159A9"/>
    <w:rsid w:val="00216D3A"/>
    <w:rsid w:val="00216E8D"/>
    <w:rsid w:val="00220901"/>
    <w:rsid w:val="00222E13"/>
    <w:rsid w:val="00222E9B"/>
    <w:rsid w:val="00223320"/>
    <w:rsid w:val="00224888"/>
    <w:rsid w:val="002256FD"/>
    <w:rsid w:val="0022597C"/>
    <w:rsid w:val="00225FAA"/>
    <w:rsid w:val="0022783C"/>
    <w:rsid w:val="002317C6"/>
    <w:rsid w:val="00232D73"/>
    <w:rsid w:val="002353A0"/>
    <w:rsid w:val="002374DD"/>
    <w:rsid w:val="00243AF3"/>
    <w:rsid w:val="00244C5D"/>
    <w:rsid w:val="0024535D"/>
    <w:rsid w:val="00245675"/>
    <w:rsid w:val="00246349"/>
    <w:rsid w:val="00246CE4"/>
    <w:rsid w:val="00247133"/>
    <w:rsid w:val="00247A32"/>
    <w:rsid w:val="00252215"/>
    <w:rsid w:val="002542E6"/>
    <w:rsid w:val="00254C34"/>
    <w:rsid w:val="00255033"/>
    <w:rsid w:val="002554D8"/>
    <w:rsid w:val="00255C92"/>
    <w:rsid w:val="00262764"/>
    <w:rsid w:val="00262EFA"/>
    <w:rsid w:val="002637D0"/>
    <w:rsid w:val="00265396"/>
    <w:rsid w:val="00266B0A"/>
    <w:rsid w:val="00267EE5"/>
    <w:rsid w:val="002710AC"/>
    <w:rsid w:val="0027207E"/>
    <w:rsid w:val="00272D31"/>
    <w:rsid w:val="00274475"/>
    <w:rsid w:val="00281A53"/>
    <w:rsid w:val="00282725"/>
    <w:rsid w:val="00283ACA"/>
    <w:rsid w:val="00284731"/>
    <w:rsid w:val="00285766"/>
    <w:rsid w:val="00286BF1"/>
    <w:rsid w:val="002913CA"/>
    <w:rsid w:val="002918D9"/>
    <w:rsid w:val="00291E00"/>
    <w:rsid w:val="00297076"/>
    <w:rsid w:val="00297F99"/>
    <w:rsid w:val="002A1357"/>
    <w:rsid w:val="002A1F0F"/>
    <w:rsid w:val="002A7CD6"/>
    <w:rsid w:val="002B002F"/>
    <w:rsid w:val="002B253B"/>
    <w:rsid w:val="002B418F"/>
    <w:rsid w:val="002C25DB"/>
    <w:rsid w:val="002C31FC"/>
    <w:rsid w:val="002C3A2D"/>
    <w:rsid w:val="002C6453"/>
    <w:rsid w:val="002D0DC0"/>
    <w:rsid w:val="002D5EFF"/>
    <w:rsid w:val="002D5F0E"/>
    <w:rsid w:val="002D65FF"/>
    <w:rsid w:val="002E0123"/>
    <w:rsid w:val="002E0CDB"/>
    <w:rsid w:val="002E1F79"/>
    <w:rsid w:val="002E500E"/>
    <w:rsid w:val="002E50A6"/>
    <w:rsid w:val="002F03A4"/>
    <w:rsid w:val="002F10B0"/>
    <w:rsid w:val="002F2453"/>
    <w:rsid w:val="002F28F1"/>
    <w:rsid w:val="002F51AA"/>
    <w:rsid w:val="002F758A"/>
    <w:rsid w:val="002F771E"/>
    <w:rsid w:val="002F7A1F"/>
    <w:rsid w:val="003013E7"/>
    <w:rsid w:val="0030169C"/>
    <w:rsid w:val="003018E6"/>
    <w:rsid w:val="00301D15"/>
    <w:rsid w:val="00302946"/>
    <w:rsid w:val="003032BE"/>
    <w:rsid w:val="00304CAD"/>
    <w:rsid w:val="0030563F"/>
    <w:rsid w:val="00305928"/>
    <w:rsid w:val="00306095"/>
    <w:rsid w:val="00307A73"/>
    <w:rsid w:val="0031193B"/>
    <w:rsid w:val="00311A2D"/>
    <w:rsid w:val="00314FCB"/>
    <w:rsid w:val="00320817"/>
    <w:rsid w:val="00322006"/>
    <w:rsid w:val="003235C8"/>
    <w:rsid w:val="003242B1"/>
    <w:rsid w:val="0032446A"/>
    <w:rsid w:val="00324C08"/>
    <w:rsid w:val="00325EBD"/>
    <w:rsid w:val="003262E7"/>
    <w:rsid w:val="00327B38"/>
    <w:rsid w:val="00332F57"/>
    <w:rsid w:val="00334A35"/>
    <w:rsid w:val="00334CF0"/>
    <w:rsid w:val="0034021F"/>
    <w:rsid w:val="0034068E"/>
    <w:rsid w:val="00342F4B"/>
    <w:rsid w:val="00343BAD"/>
    <w:rsid w:val="003445BD"/>
    <w:rsid w:val="003458BC"/>
    <w:rsid w:val="00351144"/>
    <w:rsid w:val="00351B02"/>
    <w:rsid w:val="00351EC6"/>
    <w:rsid w:val="0035386F"/>
    <w:rsid w:val="0035396F"/>
    <w:rsid w:val="00354557"/>
    <w:rsid w:val="003553C3"/>
    <w:rsid w:val="00357186"/>
    <w:rsid w:val="003575AB"/>
    <w:rsid w:val="00357C56"/>
    <w:rsid w:val="00357EE4"/>
    <w:rsid w:val="00363D4B"/>
    <w:rsid w:val="003654D3"/>
    <w:rsid w:val="003654E5"/>
    <w:rsid w:val="00365883"/>
    <w:rsid w:val="0036681A"/>
    <w:rsid w:val="00367193"/>
    <w:rsid w:val="003678F4"/>
    <w:rsid w:val="00367C36"/>
    <w:rsid w:val="0037061C"/>
    <w:rsid w:val="003752D4"/>
    <w:rsid w:val="003770CA"/>
    <w:rsid w:val="00377CC0"/>
    <w:rsid w:val="00381FAD"/>
    <w:rsid w:val="003828F8"/>
    <w:rsid w:val="00382F70"/>
    <w:rsid w:val="0038456C"/>
    <w:rsid w:val="00384CDD"/>
    <w:rsid w:val="00387E54"/>
    <w:rsid w:val="00390461"/>
    <w:rsid w:val="003922EC"/>
    <w:rsid w:val="00393223"/>
    <w:rsid w:val="00393DFB"/>
    <w:rsid w:val="003946B3"/>
    <w:rsid w:val="0039637E"/>
    <w:rsid w:val="003A01BE"/>
    <w:rsid w:val="003A3695"/>
    <w:rsid w:val="003A3CB6"/>
    <w:rsid w:val="003A57C2"/>
    <w:rsid w:val="003A592E"/>
    <w:rsid w:val="003A6274"/>
    <w:rsid w:val="003A7886"/>
    <w:rsid w:val="003A7ACD"/>
    <w:rsid w:val="003B1741"/>
    <w:rsid w:val="003B53FD"/>
    <w:rsid w:val="003B54CD"/>
    <w:rsid w:val="003B58E9"/>
    <w:rsid w:val="003B65F9"/>
    <w:rsid w:val="003B6CC8"/>
    <w:rsid w:val="003B7063"/>
    <w:rsid w:val="003C222D"/>
    <w:rsid w:val="003C3467"/>
    <w:rsid w:val="003C5B05"/>
    <w:rsid w:val="003C5D47"/>
    <w:rsid w:val="003D046B"/>
    <w:rsid w:val="003D1320"/>
    <w:rsid w:val="003D21E8"/>
    <w:rsid w:val="003D35AE"/>
    <w:rsid w:val="003D65E7"/>
    <w:rsid w:val="003D6A7A"/>
    <w:rsid w:val="003E0738"/>
    <w:rsid w:val="003E1228"/>
    <w:rsid w:val="003E2B2E"/>
    <w:rsid w:val="003E2C05"/>
    <w:rsid w:val="003E2E17"/>
    <w:rsid w:val="003E3744"/>
    <w:rsid w:val="003E5339"/>
    <w:rsid w:val="003E5D48"/>
    <w:rsid w:val="003E6D05"/>
    <w:rsid w:val="003F0566"/>
    <w:rsid w:val="003F0D6D"/>
    <w:rsid w:val="003F2A92"/>
    <w:rsid w:val="00402A6F"/>
    <w:rsid w:val="004039DA"/>
    <w:rsid w:val="00403F97"/>
    <w:rsid w:val="00404222"/>
    <w:rsid w:val="004043BF"/>
    <w:rsid w:val="00404BB3"/>
    <w:rsid w:val="00404F66"/>
    <w:rsid w:val="0040671A"/>
    <w:rsid w:val="004109D9"/>
    <w:rsid w:val="00412ACF"/>
    <w:rsid w:val="00412F03"/>
    <w:rsid w:val="00413C54"/>
    <w:rsid w:val="0041674B"/>
    <w:rsid w:val="00421890"/>
    <w:rsid w:val="00422367"/>
    <w:rsid w:val="00424BAC"/>
    <w:rsid w:val="00424C1D"/>
    <w:rsid w:val="004251B2"/>
    <w:rsid w:val="00425BF0"/>
    <w:rsid w:val="0042717B"/>
    <w:rsid w:val="00430CE3"/>
    <w:rsid w:val="00430D89"/>
    <w:rsid w:val="00431EA5"/>
    <w:rsid w:val="0043233A"/>
    <w:rsid w:val="00432712"/>
    <w:rsid w:val="00433432"/>
    <w:rsid w:val="00434216"/>
    <w:rsid w:val="00434440"/>
    <w:rsid w:val="00435D63"/>
    <w:rsid w:val="0044099B"/>
    <w:rsid w:val="00443C01"/>
    <w:rsid w:val="00444F4F"/>
    <w:rsid w:val="00446354"/>
    <w:rsid w:val="00446CBF"/>
    <w:rsid w:val="00452091"/>
    <w:rsid w:val="0045301E"/>
    <w:rsid w:val="00457183"/>
    <w:rsid w:val="004620A2"/>
    <w:rsid w:val="004624CB"/>
    <w:rsid w:val="00462ECC"/>
    <w:rsid w:val="00464587"/>
    <w:rsid w:val="0047145F"/>
    <w:rsid w:val="004771E3"/>
    <w:rsid w:val="00477B5E"/>
    <w:rsid w:val="004826A0"/>
    <w:rsid w:val="004838F3"/>
    <w:rsid w:val="004864F1"/>
    <w:rsid w:val="00486BBB"/>
    <w:rsid w:val="00486BDE"/>
    <w:rsid w:val="00487775"/>
    <w:rsid w:val="004902DB"/>
    <w:rsid w:val="004904E5"/>
    <w:rsid w:val="0049060A"/>
    <w:rsid w:val="00491AD9"/>
    <w:rsid w:val="00491B44"/>
    <w:rsid w:val="00492FEF"/>
    <w:rsid w:val="00495F54"/>
    <w:rsid w:val="004970E3"/>
    <w:rsid w:val="004A0852"/>
    <w:rsid w:val="004A1AE9"/>
    <w:rsid w:val="004A1EA0"/>
    <w:rsid w:val="004A310D"/>
    <w:rsid w:val="004A5BA7"/>
    <w:rsid w:val="004A6D62"/>
    <w:rsid w:val="004A7154"/>
    <w:rsid w:val="004A7881"/>
    <w:rsid w:val="004A7E5E"/>
    <w:rsid w:val="004B0711"/>
    <w:rsid w:val="004B0F4B"/>
    <w:rsid w:val="004B102B"/>
    <w:rsid w:val="004B1BEB"/>
    <w:rsid w:val="004B2BD7"/>
    <w:rsid w:val="004B586B"/>
    <w:rsid w:val="004B666D"/>
    <w:rsid w:val="004B7FAC"/>
    <w:rsid w:val="004C21A8"/>
    <w:rsid w:val="004C2835"/>
    <w:rsid w:val="004C3468"/>
    <w:rsid w:val="004C43B2"/>
    <w:rsid w:val="004C545A"/>
    <w:rsid w:val="004C56C0"/>
    <w:rsid w:val="004C5A30"/>
    <w:rsid w:val="004C7615"/>
    <w:rsid w:val="004D21D6"/>
    <w:rsid w:val="004D26C8"/>
    <w:rsid w:val="004D3BBA"/>
    <w:rsid w:val="004D51BB"/>
    <w:rsid w:val="004D54C0"/>
    <w:rsid w:val="004D5CDE"/>
    <w:rsid w:val="004D6682"/>
    <w:rsid w:val="004D6926"/>
    <w:rsid w:val="004E226D"/>
    <w:rsid w:val="004E48B3"/>
    <w:rsid w:val="004E4E0E"/>
    <w:rsid w:val="004E6C42"/>
    <w:rsid w:val="004E7C7D"/>
    <w:rsid w:val="004F0CCA"/>
    <w:rsid w:val="004F14F8"/>
    <w:rsid w:val="004F1791"/>
    <w:rsid w:val="004F2805"/>
    <w:rsid w:val="004F3628"/>
    <w:rsid w:val="004F446A"/>
    <w:rsid w:val="004F6792"/>
    <w:rsid w:val="004F6A04"/>
    <w:rsid w:val="004F6FC4"/>
    <w:rsid w:val="004F769C"/>
    <w:rsid w:val="005013E3"/>
    <w:rsid w:val="0050304E"/>
    <w:rsid w:val="00503D1D"/>
    <w:rsid w:val="00504945"/>
    <w:rsid w:val="0050494E"/>
    <w:rsid w:val="00505DDB"/>
    <w:rsid w:val="005100C7"/>
    <w:rsid w:val="0051084D"/>
    <w:rsid w:val="00511517"/>
    <w:rsid w:val="00512227"/>
    <w:rsid w:val="00512602"/>
    <w:rsid w:val="00513349"/>
    <w:rsid w:val="0051348B"/>
    <w:rsid w:val="0051377F"/>
    <w:rsid w:val="005139F0"/>
    <w:rsid w:val="0051521E"/>
    <w:rsid w:val="005164B4"/>
    <w:rsid w:val="005165BA"/>
    <w:rsid w:val="00522AE6"/>
    <w:rsid w:val="00523D11"/>
    <w:rsid w:val="005242EF"/>
    <w:rsid w:val="005244D8"/>
    <w:rsid w:val="00530A47"/>
    <w:rsid w:val="00531524"/>
    <w:rsid w:val="005317FA"/>
    <w:rsid w:val="00533429"/>
    <w:rsid w:val="0053420D"/>
    <w:rsid w:val="005374E1"/>
    <w:rsid w:val="00537908"/>
    <w:rsid w:val="00537D03"/>
    <w:rsid w:val="0054064B"/>
    <w:rsid w:val="00540F83"/>
    <w:rsid w:val="0054152C"/>
    <w:rsid w:val="005415DE"/>
    <w:rsid w:val="005415E8"/>
    <w:rsid w:val="0054223F"/>
    <w:rsid w:val="00542666"/>
    <w:rsid w:val="005438C3"/>
    <w:rsid w:val="0054422A"/>
    <w:rsid w:val="005451AF"/>
    <w:rsid w:val="00545FD7"/>
    <w:rsid w:val="00546032"/>
    <w:rsid w:val="005466D9"/>
    <w:rsid w:val="005504B2"/>
    <w:rsid w:val="00550F7D"/>
    <w:rsid w:val="005518B6"/>
    <w:rsid w:val="00555047"/>
    <w:rsid w:val="005552A8"/>
    <w:rsid w:val="00556DCD"/>
    <w:rsid w:val="00562F09"/>
    <w:rsid w:val="00564B04"/>
    <w:rsid w:val="00565074"/>
    <w:rsid w:val="0056797F"/>
    <w:rsid w:val="00567A77"/>
    <w:rsid w:val="00567A7C"/>
    <w:rsid w:val="00571228"/>
    <w:rsid w:val="005712F5"/>
    <w:rsid w:val="00571CDB"/>
    <w:rsid w:val="00572952"/>
    <w:rsid w:val="00572CC4"/>
    <w:rsid w:val="00573599"/>
    <w:rsid w:val="00574B5F"/>
    <w:rsid w:val="00576C11"/>
    <w:rsid w:val="00580EA0"/>
    <w:rsid w:val="00583D4F"/>
    <w:rsid w:val="0058470E"/>
    <w:rsid w:val="00585A93"/>
    <w:rsid w:val="00585C53"/>
    <w:rsid w:val="00586EE5"/>
    <w:rsid w:val="005873C4"/>
    <w:rsid w:val="005901B6"/>
    <w:rsid w:val="0059089B"/>
    <w:rsid w:val="005909CE"/>
    <w:rsid w:val="00591EF6"/>
    <w:rsid w:val="0059248E"/>
    <w:rsid w:val="005926CB"/>
    <w:rsid w:val="0059630E"/>
    <w:rsid w:val="005970D0"/>
    <w:rsid w:val="005971A3"/>
    <w:rsid w:val="005A018D"/>
    <w:rsid w:val="005A1698"/>
    <w:rsid w:val="005A5480"/>
    <w:rsid w:val="005A56BB"/>
    <w:rsid w:val="005A66CB"/>
    <w:rsid w:val="005B0077"/>
    <w:rsid w:val="005B01AE"/>
    <w:rsid w:val="005B08C3"/>
    <w:rsid w:val="005B1128"/>
    <w:rsid w:val="005B31C6"/>
    <w:rsid w:val="005B466C"/>
    <w:rsid w:val="005B4898"/>
    <w:rsid w:val="005B4D75"/>
    <w:rsid w:val="005B61AC"/>
    <w:rsid w:val="005B625E"/>
    <w:rsid w:val="005C0A27"/>
    <w:rsid w:val="005C2265"/>
    <w:rsid w:val="005C3D53"/>
    <w:rsid w:val="005C3E7A"/>
    <w:rsid w:val="005C5263"/>
    <w:rsid w:val="005C597F"/>
    <w:rsid w:val="005C6B0C"/>
    <w:rsid w:val="005C7A76"/>
    <w:rsid w:val="005C7AF3"/>
    <w:rsid w:val="005D10D2"/>
    <w:rsid w:val="005D3D2F"/>
    <w:rsid w:val="005D4050"/>
    <w:rsid w:val="005D5243"/>
    <w:rsid w:val="005D7EDD"/>
    <w:rsid w:val="005E130B"/>
    <w:rsid w:val="005E2404"/>
    <w:rsid w:val="005E3287"/>
    <w:rsid w:val="005E3C6B"/>
    <w:rsid w:val="005E41F4"/>
    <w:rsid w:val="005E4842"/>
    <w:rsid w:val="005E4A2D"/>
    <w:rsid w:val="005E59F8"/>
    <w:rsid w:val="005F02F2"/>
    <w:rsid w:val="005F238D"/>
    <w:rsid w:val="005F26E8"/>
    <w:rsid w:val="005F4907"/>
    <w:rsid w:val="005F5A76"/>
    <w:rsid w:val="005F6583"/>
    <w:rsid w:val="005F72C7"/>
    <w:rsid w:val="00600B70"/>
    <w:rsid w:val="00601A23"/>
    <w:rsid w:val="006042E5"/>
    <w:rsid w:val="006055B8"/>
    <w:rsid w:val="00605859"/>
    <w:rsid w:val="006101CD"/>
    <w:rsid w:val="0061021B"/>
    <w:rsid w:val="00611E62"/>
    <w:rsid w:val="00612F28"/>
    <w:rsid w:val="0061351C"/>
    <w:rsid w:val="006141C1"/>
    <w:rsid w:val="006150D3"/>
    <w:rsid w:val="006218EF"/>
    <w:rsid w:val="00622C38"/>
    <w:rsid w:val="00622D01"/>
    <w:rsid w:val="00624CD9"/>
    <w:rsid w:val="00625A2D"/>
    <w:rsid w:val="00632BBA"/>
    <w:rsid w:val="00633081"/>
    <w:rsid w:val="0063452F"/>
    <w:rsid w:val="00634C75"/>
    <w:rsid w:val="00636BB4"/>
    <w:rsid w:val="00637457"/>
    <w:rsid w:val="00637935"/>
    <w:rsid w:val="00642018"/>
    <w:rsid w:val="00645B95"/>
    <w:rsid w:val="00650B5C"/>
    <w:rsid w:val="00651187"/>
    <w:rsid w:val="006512C1"/>
    <w:rsid w:val="0065700F"/>
    <w:rsid w:val="00661DBD"/>
    <w:rsid w:val="006633BF"/>
    <w:rsid w:val="00664D3D"/>
    <w:rsid w:val="0066568A"/>
    <w:rsid w:val="00670D9F"/>
    <w:rsid w:val="0067188B"/>
    <w:rsid w:val="006728EB"/>
    <w:rsid w:val="00672F17"/>
    <w:rsid w:val="00673130"/>
    <w:rsid w:val="006741D5"/>
    <w:rsid w:val="00674447"/>
    <w:rsid w:val="0067540B"/>
    <w:rsid w:val="0067627B"/>
    <w:rsid w:val="006768FB"/>
    <w:rsid w:val="006801BB"/>
    <w:rsid w:val="006803A9"/>
    <w:rsid w:val="00680C3E"/>
    <w:rsid w:val="00681487"/>
    <w:rsid w:val="00681853"/>
    <w:rsid w:val="006821F2"/>
    <w:rsid w:val="006840A9"/>
    <w:rsid w:val="00684425"/>
    <w:rsid w:val="00684622"/>
    <w:rsid w:val="00686C95"/>
    <w:rsid w:val="00687A2A"/>
    <w:rsid w:val="006907C6"/>
    <w:rsid w:val="00691A4C"/>
    <w:rsid w:val="00692098"/>
    <w:rsid w:val="00692879"/>
    <w:rsid w:val="0069397D"/>
    <w:rsid w:val="00693DF6"/>
    <w:rsid w:val="00695DBF"/>
    <w:rsid w:val="00697AB7"/>
    <w:rsid w:val="006A1CAB"/>
    <w:rsid w:val="006A29A0"/>
    <w:rsid w:val="006A2DE6"/>
    <w:rsid w:val="006A3B59"/>
    <w:rsid w:val="006A3CF3"/>
    <w:rsid w:val="006A3D76"/>
    <w:rsid w:val="006A5D64"/>
    <w:rsid w:val="006A60DE"/>
    <w:rsid w:val="006A611C"/>
    <w:rsid w:val="006A7238"/>
    <w:rsid w:val="006A73F5"/>
    <w:rsid w:val="006A7DD9"/>
    <w:rsid w:val="006B10DE"/>
    <w:rsid w:val="006B11F4"/>
    <w:rsid w:val="006B2069"/>
    <w:rsid w:val="006B2AFA"/>
    <w:rsid w:val="006B414C"/>
    <w:rsid w:val="006B480B"/>
    <w:rsid w:val="006B552D"/>
    <w:rsid w:val="006B77EA"/>
    <w:rsid w:val="006C3B86"/>
    <w:rsid w:val="006C55FB"/>
    <w:rsid w:val="006C721D"/>
    <w:rsid w:val="006D218F"/>
    <w:rsid w:val="006D3547"/>
    <w:rsid w:val="006D3E69"/>
    <w:rsid w:val="006D40BB"/>
    <w:rsid w:val="006D4354"/>
    <w:rsid w:val="006D44CB"/>
    <w:rsid w:val="006D4BB7"/>
    <w:rsid w:val="006D5D30"/>
    <w:rsid w:val="006D60E7"/>
    <w:rsid w:val="006D6F04"/>
    <w:rsid w:val="006D7335"/>
    <w:rsid w:val="006E2B70"/>
    <w:rsid w:val="006E3D12"/>
    <w:rsid w:val="006E432B"/>
    <w:rsid w:val="006E441C"/>
    <w:rsid w:val="006E633D"/>
    <w:rsid w:val="006F0234"/>
    <w:rsid w:val="006F0AF3"/>
    <w:rsid w:val="006F14CA"/>
    <w:rsid w:val="006F15A4"/>
    <w:rsid w:val="006F1A76"/>
    <w:rsid w:val="006F1B4D"/>
    <w:rsid w:val="006F3926"/>
    <w:rsid w:val="006F3E95"/>
    <w:rsid w:val="006F3FB9"/>
    <w:rsid w:val="006F5946"/>
    <w:rsid w:val="006F6AA7"/>
    <w:rsid w:val="00700B94"/>
    <w:rsid w:val="007043AF"/>
    <w:rsid w:val="007052CB"/>
    <w:rsid w:val="007064BB"/>
    <w:rsid w:val="007103FF"/>
    <w:rsid w:val="00713827"/>
    <w:rsid w:val="00713D14"/>
    <w:rsid w:val="007145BB"/>
    <w:rsid w:val="007156CF"/>
    <w:rsid w:val="00717D0E"/>
    <w:rsid w:val="00717EB5"/>
    <w:rsid w:val="007201CE"/>
    <w:rsid w:val="00721475"/>
    <w:rsid w:val="00721E3A"/>
    <w:rsid w:val="00721F4A"/>
    <w:rsid w:val="007242C5"/>
    <w:rsid w:val="00725FC4"/>
    <w:rsid w:val="007276A6"/>
    <w:rsid w:val="00731FA0"/>
    <w:rsid w:val="00733B0B"/>
    <w:rsid w:val="00733B1A"/>
    <w:rsid w:val="00734850"/>
    <w:rsid w:val="00735E0A"/>
    <w:rsid w:val="00736C63"/>
    <w:rsid w:val="0073703E"/>
    <w:rsid w:val="00742B30"/>
    <w:rsid w:val="00746460"/>
    <w:rsid w:val="007508CD"/>
    <w:rsid w:val="00750D61"/>
    <w:rsid w:val="00750D8A"/>
    <w:rsid w:val="007517E9"/>
    <w:rsid w:val="0075192C"/>
    <w:rsid w:val="00752189"/>
    <w:rsid w:val="00753589"/>
    <w:rsid w:val="00753927"/>
    <w:rsid w:val="00754254"/>
    <w:rsid w:val="0075453A"/>
    <w:rsid w:val="00754EDD"/>
    <w:rsid w:val="00756CAC"/>
    <w:rsid w:val="0075779F"/>
    <w:rsid w:val="00757A84"/>
    <w:rsid w:val="00760973"/>
    <w:rsid w:val="007622FB"/>
    <w:rsid w:val="00762405"/>
    <w:rsid w:val="007626A1"/>
    <w:rsid w:val="00764322"/>
    <w:rsid w:val="007645F5"/>
    <w:rsid w:val="007650DF"/>
    <w:rsid w:val="00765381"/>
    <w:rsid w:val="007666AF"/>
    <w:rsid w:val="00771B04"/>
    <w:rsid w:val="00772F1C"/>
    <w:rsid w:val="00773BE1"/>
    <w:rsid w:val="00773F1D"/>
    <w:rsid w:val="007744E9"/>
    <w:rsid w:val="00775F3D"/>
    <w:rsid w:val="0077778F"/>
    <w:rsid w:val="00777A42"/>
    <w:rsid w:val="007829BD"/>
    <w:rsid w:val="00783C54"/>
    <w:rsid w:val="007843E8"/>
    <w:rsid w:val="00784893"/>
    <w:rsid w:val="00787E13"/>
    <w:rsid w:val="00790703"/>
    <w:rsid w:val="00791FCC"/>
    <w:rsid w:val="007932A1"/>
    <w:rsid w:val="007940BF"/>
    <w:rsid w:val="007A1E2C"/>
    <w:rsid w:val="007A33C2"/>
    <w:rsid w:val="007A3583"/>
    <w:rsid w:val="007A3AE6"/>
    <w:rsid w:val="007A3CCB"/>
    <w:rsid w:val="007A3F10"/>
    <w:rsid w:val="007A407A"/>
    <w:rsid w:val="007A426A"/>
    <w:rsid w:val="007A47F4"/>
    <w:rsid w:val="007A5D0B"/>
    <w:rsid w:val="007A7236"/>
    <w:rsid w:val="007B1D6F"/>
    <w:rsid w:val="007B452C"/>
    <w:rsid w:val="007B55B6"/>
    <w:rsid w:val="007B721A"/>
    <w:rsid w:val="007B732F"/>
    <w:rsid w:val="007C221E"/>
    <w:rsid w:val="007C3E32"/>
    <w:rsid w:val="007C49DF"/>
    <w:rsid w:val="007C70D9"/>
    <w:rsid w:val="007C7C91"/>
    <w:rsid w:val="007C7CF1"/>
    <w:rsid w:val="007D25F0"/>
    <w:rsid w:val="007D51B9"/>
    <w:rsid w:val="007D65F5"/>
    <w:rsid w:val="007D6C3E"/>
    <w:rsid w:val="007E09FB"/>
    <w:rsid w:val="007E17EE"/>
    <w:rsid w:val="007E2194"/>
    <w:rsid w:val="007E29E9"/>
    <w:rsid w:val="007E42E0"/>
    <w:rsid w:val="007E4D23"/>
    <w:rsid w:val="007E6DEB"/>
    <w:rsid w:val="007F074C"/>
    <w:rsid w:val="007F0901"/>
    <w:rsid w:val="007F2CF2"/>
    <w:rsid w:val="007F430D"/>
    <w:rsid w:val="007F4AF4"/>
    <w:rsid w:val="007F5639"/>
    <w:rsid w:val="007F69CD"/>
    <w:rsid w:val="00800D17"/>
    <w:rsid w:val="0080252B"/>
    <w:rsid w:val="00802627"/>
    <w:rsid w:val="0080384D"/>
    <w:rsid w:val="00803B2C"/>
    <w:rsid w:val="00803DF7"/>
    <w:rsid w:val="00806435"/>
    <w:rsid w:val="00807155"/>
    <w:rsid w:val="008075D2"/>
    <w:rsid w:val="00807D10"/>
    <w:rsid w:val="008107B0"/>
    <w:rsid w:val="00812E4B"/>
    <w:rsid w:val="00813439"/>
    <w:rsid w:val="0081450E"/>
    <w:rsid w:val="00815674"/>
    <w:rsid w:val="00820C58"/>
    <w:rsid w:val="0082129F"/>
    <w:rsid w:val="008217F7"/>
    <w:rsid w:val="00824E92"/>
    <w:rsid w:val="008250EC"/>
    <w:rsid w:val="00831CDC"/>
    <w:rsid w:val="0083244E"/>
    <w:rsid w:val="00832997"/>
    <w:rsid w:val="0083558B"/>
    <w:rsid w:val="00837DFB"/>
    <w:rsid w:val="00842C41"/>
    <w:rsid w:val="00843ABD"/>
    <w:rsid w:val="00846DA0"/>
    <w:rsid w:val="00847252"/>
    <w:rsid w:val="008500C7"/>
    <w:rsid w:val="00850AD8"/>
    <w:rsid w:val="00850E58"/>
    <w:rsid w:val="00850EAB"/>
    <w:rsid w:val="008522D5"/>
    <w:rsid w:val="0085299B"/>
    <w:rsid w:val="00854AD8"/>
    <w:rsid w:val="008567CF"/>
    <w:rsid w:val="00856ABE"/>
    <w:rsid w:val="0086139F"/>
    <w:rsid w:val="00862B81"/>
    <w:rsid w:val="00864E7D"/>
    <w:rsid w:val="0086582A"/>
    <w:rsid w:val="00866814"/>
    <w:rsid w:val="00867BEE"/>
    <w:rsid w:val="00867FCF"/>
    <w:rsid w:val="0087235A"/>
    <w:rsid w:val="00872940"/>
    <w:rsid w:val="00875FA6"/>
    <w:rsid w:val="00876416"/>
    <w:rsid w:val="00877B91"/>
    <w:rsid w:val="0088025C"/>
    <w:rsid w:val="0088251A"/>
    <w:rsid w:val="00883B81"/>
    <w:rsid w:val="00883D0A"/>
    <w:rsid w:val="008840B8"/>
    <w:rsid w:val="00885C55"/>
    <w:rsid w:val="00886231"/>
    <w:rsid w:val="008878AB"/>
    <w:rsid w:val="00891429"/>
    <w:rsid w:val="00893B81"/>
    <w:rsid w:val="00893D67"/>
    <w:rsid w:val="00894111"/>
    <w:rsid w:val="00895844"/>
    <w:rsid w:val="008959DB"/>
    <w:rsid w:val="00896900"/>
    <w:rsid w:val="008979F7"/>
    <w:rsid w:val="008A2627"/>
    <w:rsid w:val="008A2BA3"/>
    <w:rsid w:val="008A33DD"/>
    <w:rsid w:val="008A3BE1"/>
    <w:rsid w:val="008A42E1"/>
    <w:rsid w:val="008A4ABA"/>
    <w:rsid w:val="008B0DB3"/>
    <w:rsid w:val="008B287B"/>
    <w:rsid w:val="008B391E"/>
    <w:rsid w:val="008B6127"/>
    <w:rsid w:val="008B6169"/>
    <w:rsid w:val="008B75E1"/>
    <w:rsid w:val="008B7625"/>
    <w:rsid w:val="008B7B11"/>
    <w:rsid w:val="008C2F43"/>
    <w:rsid w:val="008C416C"/>
    <w:rsid w:val="008C435C"/>
    <w:rsid w:val="008C50B0"/>
    <w:rsid w:val="008C61D3"/>
    <w:rsid w:val="008D150C"/>
    <w:rsid w:val="008D215F"/>
    <w:rsid w:val="008D2B93"/>
    <w:rsid w:val="008D2F16"/>
    <w:rsid w:val="008D3000"/>
    <w:rsid w:val="008D38E2"/>
    <w:rsid w:val="008D3DE6"/>
    <w:rsid w:val="008D4BC9"/>
    <w:rsid w:val="008D5564"/>
    <w:rsid w:val="008D6E22"/>
    <w:rsid w:val="008E0C46"/>
    <w:rsid w:val="008E3793"/>
    <w:rsid w:val="008E3E21"/>
    <w:rsid w:val="008E4241"/>
    <w:rsid w:val="008E462C"/>
    <w:rsid w:val="008E5E0B"/>
    <w:rsid w:val="008F065E"/>
    <w:rsid w:val="008F210E"/>
    <w:rsid w:val="008F2947"/>
    <w:rsid w:val="008F4709"/>
    <w:rsid w:val="0090023C"/>
    <w:rsid w:val="00900E84"/>
    <w:rsid w:val="00902605"/>
    <w:rsid w:val="00902708"/>
    <w:rsid w:val="009030E3"/>
    <w:rsid w:val="00906080"/>
    <w:rsid w:val="00906299"/>
    <w:rsid w:val="00910043"/>
    <w:rsid w:val="00910302"/>
    <w:rsid w:val="00912198"/>
    <w:rsid w:val="0091373D"/>
    <w:rsid w:val="00913DAC"/>
    <w:rsid w:val="00914771"/>
    <w:rsid w:val="00914C68"/>
    <w:rsid w:val="00915DBC"/>
    <w:rsid w:val="0091685A"/>
    <w:rsid w:val="00917E01"/>
    <w:rsid w:val="00917EC5"/>
    <w:rsid w:val="009203CE"/>
    <w:rsid w:val="00920CC4"/>
    <w:rsid w:val="009216E7"/>
    <w:rsid w:val="00922558"/>
    <w:rsid w:val="00924CD0"/>
    <w:rsid w:val="00925746"/>
    <w:rsid w:val="00925ED9"/>
    <w:rsid w:val="00927144"/>
    <w:rsid w:val="00930121"/>
    <w:rsid w:val="00931F3D"/>
    <w:rsid w:val="00933E34"/>
    <w:rsid w:val="009340D0"/>
    <w:rsid w:val="00934DF9"/>
    <w:rsid w:val="00937ECF"/>
    <w:rsid w:val="0094278B"/>
    <w:rsid w:val="009444BA"/>
    <w:rsid w:val="00945917"/>
    <w:rsid w:val="00950B35"/>
    <w:rsid w:val="009530EC"/>
    <w:rsid w:val="00955745"/>
    <w:rsid w:val="009575CA"/>
    <w:rsid w:val="00960DC9"/>
    <w:rsid w:val="009618FB"/>
    <w:rsid w:val="009628CC"/>
    <w:rsid w:val="00962912"/>
    <w:rsid w:val="00962B71"/>
    <w:rsid w:val="0096370C"/>
    <w:rsid w:val="00965AD3"/>
    <w:rsid w:val="00965BBF"/>
    <w:rsid w:val="00966562"/>
    <w:rsid w:val="00967FCC"/>
    <w:rsid w:val="009702F4"/>
    <w:rsid w:val="00970A67"/>
    <w:rsid w:val="00970B85"/>
    <w:rsid w:val="00971FCA"/>
    <w:rsid w:val="0097382F"/>
    <w:rsid w:val="00982D8E"/>
    <w:rsid w:val="00982EFE"/>
    <w:rsid w:val="00984C4D"/>
    <w:rsid w:val="009874A1"/>
    <w:rsid w:val="009910E8"/>
    <w:rsid w:val="0099120D"/>
    <w:rsid w:val="009941B8"/>
    <w:rsid w:val="00995660"/>
    <w:rsid w:val="0099569F"/>
    <w:rsid w:val="00995B0E"/>
    <w:rsid w:val="0099671A"/>
    <w:rsid w:val="0099754F"/>
    <w:rsid w:val="009A04C9"/>
    <w:rsid w:val="009A0B5E"/>
    <w:rsid w:val="009A29C1"/>
    <w:rsid w:val="009A3523"/>
    <w:rsid w:val="009A5D92"/>
    <w:rsid w:val="009A783E"/>
    <w:rsid w:val="009B0CEB"/>
    <w:rsid w:val="009B1A53"/>
    <w:rsid w:val="009B2AAC"/>
    <w:rsid w:val="009B2BB9"/>
    <w:rsid w:val="009B42FC"/>
    <w:rsid w:val="009B4D15"/>
    <w:rsid w:val="009B5566"/>
    <w:rsid w:val="009B6CEF"/>
    <w:rsid w:val="009C0B6A"/>
    <w:rsid w:val="009C12E0"/>
    <w:rsid w:val="009C1343"/>
    <w:rsid w:val="009C30E4"/>
    <w:rsid w:val="009C559A"/>
    <w:rsid w:val="009C6501"/>
    <w:rsid w:val="009D0CE3"/>
    <w:rsid w:val="009D1227"/>
    <w:rsid w:val="009D2FFB"/>
    <w:rsid w:val="009D33CC"/>
    <w:rsid w:val="009D449E"/>
    <w:rsid w:val="009D4990"/>
    <w:rsid w:val="009D6506"/>
    <w:rsid w:val="009D672A"/>
    <w:rsid w:val="009E1CE6"/>
    <w:rsid w:val="009E3BF4"/>
    <w:rsid w:val="009E5FAF"/>
    <w:rsid w:val="009E67CC"/>
    <w:rsid w:val="009F11B8"/>
    <w:rsid w:val="009F2BC0"/>
    <w:rsid w:val="009F3893"/>
    <w:rsid w:val="009F45E9"/>
    <w:rsid w:val="009F5911"/>
    <w:rsid w:val="009F5B91"/>
    <w:rsid w:val="009F5D23"/>
    <w:rsid w:val="009F6254"/>
    <w:rsid w:val="009F6685"/>
    <w:rsid w:val="00A050DB"/>
    <w:rsid w:val="00A10B5D"/>
    <w:rsid w:val="00A1247A"/>
    <w:rsid w:val="00A137D4"/>
    <w:rsid w:val="00A13D97"/>
    <w:rsid w:val="00A2093D"/>
    <w:rsid w:val="00A20DA3"/>
    <w:rsid w:val="00A21D4C"/>
    <w:rsid w:val="00A226CD"/>
    <w:rsid w:val="00A24DF7"/>
    <w:rsid w:val="00A279C6"/>
    <w:rsid w:val="00A31980"/>
    <w:rsid w:val="00A31C1E"/>
    <w:rsid w:val="00A3256A"/>
    <w:rsid w:val="00A357F8"/>
    <w:rsid w:val="00A36716"/>
    <w:rsid w:val="00A40A66"/>
    <w:rsid w:val="00A4468E"/>
    <w:rsid w:val="00A46E34"/>
    <w:rsid w:val="00A472C1"/>
    <w:rsid w:val="00A4734C"/>
    <w:rsid w:val="00A47462"/>
    <w:rsid w:val="00A515CF"/>
    <w:rsid w:val="00A5173E"/>
    <w:rsid w:val="00A52592"/>
    <w:rsid w:val="00A55A38"/>
    <w:rsid w:val="00A560FD"/>
    <w:rsid w:val="00A603AB"/>
    <w:rsid w:val="00A618A9"/>
    <w:rsid w:val="00A61A63"/>
    <w:rsid w:val="00A67310"/>
    <w:rsid w:val="00A6737B"/>
    <w:rsid w:val="00A70ECC"/>
    <w:rsid w:val="00A74E48"/>
    <w:rsid w:val="00A75989"/>
    <w:rsid w:val="00A7626C"/>
    <w:rsid w:val="00A76CD4"/>
    <w:rsid w:val="00A80EEB"/>
    <w:rsid w:val="00A82011"/>
    <w:rsid w:val="00A82197"/>
    <w:rsid w:val="00A82FB7"/>
    <w:rsid w:val="00A832F0"/>
    <w:rsid w:val="00A91AFE"/>
    <w:rsid w:val="00A91B41"/>
    <w:rsid w:val="00A91C4C"/>
    <w:rsid w:val="00A91E53"/>
    <w:rsid w:val="00A92699"/>
    <w:rsid w:val="00A92E17"/>
    <w:rsid w:val="00A93D53"/>
    <w:rsid w:val="00A93E9C"/>
    <w:rsid w:val="00A9681B"/>
    <w:rsid w:val="00A974E1"/>
    <w:rsid w:val="00AA136A"/>
    <w:rsid w:val="00AA2D10"/>
    <w:rsid w:val="00AA3913"/>
    <w:rsid w:val="00AA426A"/>
    <w:rsid w:val="00AA4C86"/>
    <w:rsid w:val="00AA59AC"/>
    <w:rsid w:val="00AA7B4B"/>
    <w:rsid w:val="00AA7E41"/>
    <w:rsid w:val="00AB15FD"/>
    <w:rsid w:val="00AB405B"/>
    <w:rsid w:val="00AB71C4"/>
    <w:rsid w:val="00AB7B52"/>
    <w:rsid w:val="00AB7C76"/>
    <w:rsid w:val="00AC1B26"/>
    <w:rsid w:val="00AC433B"/>
    <w:rsid w:val="00AC4540"/>
    <w:rsid w:val="00AC5CC6"/>
    <w:rsid w:val="00AC64A6"/>
    <w:rsid w:val="00AC698F"/>
    <w:rsid w:val="00AC75D5"/>
    <w:rsid w:val="00AC7AF5"/>
    <w:rsid w:val="00AD306B"/>
    <w:rsid w:val="00AD4166"/>
    <w:rsid w:val="00AD79CF"/>
    <w:rsid w:val="00AE0D68"/>
    <w:rsid w:val="00AE21DE"/>
    <w:rsid w:val="00AE24D8"/>
    <w:rsid w:val="00AE43BC"/>
    <w:rsid w:val="00AE58D4"/>
    <w:rsid w:val="00AF039D"/>
    <w:rsid w:val="00AF32BC"/>
    <w:rsid w:val="00AF3A95"/>
    <w:rsid w:val="00AF43D0"/>
    <w:rsid w:val="00AF46E1"/>
    <w:rsid w:val="00AF53E8"/>
    <w:rsid w:val="00AF6B21"/>
    <w:rsid w:val="00B011CB"/>
    <w:rsid w:val="00B019F1"/>
    <w:rsid w:val="00B01BD7"/>
    <w:rsid w:val="00B02EB9"/>
    <w:rsid w:val="00B030CE"/>
    <w:rsid w:val="00B065FA"/>
    <w:rsid w:val="00B07423"/>
    <w:rsid w:val="00B13C14"/>
    <w:rsid w:val="00B142F9"/>
    <w:rsid w:val="00B14A76"/>
    <w:rsid w:val="00B2122E"/>
    <w:rsid w:val="00B23CA3"/>
    <w:rsid w:val="00B24BC3"/>
    <w:rsid w:val="00B2560E"/>
    <w:rsid w:val="00B30426"/>
    <w:rsid w:val="00B346A9"/>
    <w:rsid w:val="00B35541"/>
    <w:rsid w:val="00B3567F"/>
    <w:rsid w:val="00B3641E"/>
    <w:rsid w:val="00B36E40"/>
    <w:rsid w:val="00B40E64"/>
    <w:rsid w:val="00B40FDE"/>
    <w:rsid w:val="00B42094"/>
    <w:rsid w:val="00B42DA4"/>
    <w:rsid w:val="00B438ED"/>
    <w:rsid w:val="00B44828"/>
    <w:rsid w:val="00B450D0"/>
    <w:rsid w:val="00B46230"/>
    <w:rsid w:val="00B46418"/>
    <w:rsid w:val="00B46835"/>
    <w:rsid w:val="00B47615"/>
    <w:rsid w:val="00B47E6F"/>
    <w:rsid w:val="00B51EF8"/>
    <w:rsid w:val="00B52487"/>
    <w:rsid w:val="00B533F5"/>
    <w:rsid w:val="00B5345C"/>
    <w:rsid w:val="00B53B5F"/>
    <w:rsid w:val="00B55425"/>
    <w:rsid w:val="00B55A10"/>
    <w:rsid w:val="00B572B7"/>
    <w:rsid w:val="00B57921"/>
    <w:rsid w:val="00B63C73"/>
    <w:rsid w:val="00B65176"/>
    <w:rsid w:val="00B66301"/>
    <w:rsid w:val="00B66C65"/>
    <w:rsid w:val="00B67F5F"/>
    <w:rsid w:val="00B71647"/>
    <w:rsid w:val="00B72915"/>
    <w:rsid w:val="00B736AB"/>
    <w:rsid w:val="00B738B0"/>
    <w:rsid w:val="00B75DF5"/>
    <w:rsid w:val="00B778EE"/>
    <w:rsid w:val="00B818A7"/>
    <w:rsid w:val="00B81D13"/>
    <w:rsid w:val="00B81D24"/>
    <w:rsid w:val="00B81F21"/>
    <w:rsid w:val="00B82A90"/>
    <w:rsid w:val="00B82F5D"/>
    <w:rsid w:val="00B836E9"/>
    <w:rsid w:val="00B8739D"/>
    <w:rsid w:val="00B87819"/>
    <w:rsid w:val="00B87B52"/>
    <w:rsid w:val="00B92A2E"/>
    <w:rsid w:val="00B9417D"/>
    <w:rsid w:val="00B94CE8"/>
    <w:rsid w:val="00B973A9"/>
    <w:rsid w:val="00B976C5"/>
    <w:rsid w:val="00BA2297"/>
    <w:rsid w:val="00BA276C"/>
    <w:rsid w:val="00BA4887"/>
    <w:rsid w:val="00BA6B51"/>
    <w:rsid w:val="00BB18A1"/>
    <w:rsid w:val="00BB1FD4"/>
    <w:rsid w:val="00BB2C77"/>
    <w:rsid w:val="00BB38AB"/>
    <w:rsid w:val="00BB4551"/>
    <w:rsid w:val="00BB5756"/>
    <w:rsid w:val="00BB5A97"/>
    <w:rsid w:val="00BB5CDB"/>
    <w:rsid w:val="00BB6390"/>
    <w:rsid w:val="00BB641E"/>
    <w:rsid w:val="00BC1C92"/>
    <w:rsid w:val="00BC4109"/>
    <w:rsid w:val="00BC5053"/>
    <w:rsid w:val="00BC628A"/>
    <w:rsid w:val="00BC6D64"/>
    <w:rsid w:val="00BC7266"/>
    <w:rsid w:val="00BD07CC"/>
    <w:rsid w:val="00BD0E1A"/>
    <w:rsid w:val="00BD1311"/>
    <w:rsid w:val="00BD3780"/>
    <w:rsid w:val="00BD5DA5"/>
    <w:rsid w:val="00BE02C9"/>
    <w:rsid w:val="00BE1902"/>
    <w:rsid w:val="00BE3DF0"/>
    <w:rsid w:val="00BF07CB"/>
    <w:rsid w:val="00BF1504"/>
    <w:rsid w:val="00BF15F2"/>
    <w:rsid w:val="00BF1D5B"/>
    <w:rsid w:val="00BF28CB"/>
    <w:rsid w:val="00BF2A3E"/>
    <w:rsid w:val="00BF6031"/>
    <w:rsid w:val="00BF6A86"/>
    <w:rsid w:val="00BF7840"/>
    <w:rsid w:val="00C031AA"/>
    <w:rsid w:val="00C035FC"/>
    <w:rsid w:val="00C062AF"/>
    <w:rsid w:val="00C0711E"/>
    <w:rsid w:val="00C07CC8"/>
    <w:rsid w:val="00C108BB"/>
    <w:rsid w:val="00C1153E"/>
    <w:rsid w:val="00C1444A"/>
    <w:rsid w:val="00C15640"/>
    <w:rsid w:val="00C21936"/>
    <w:rsid w:val="00C22BC2"/>
    <w:rsid w:val="00C23266"/>
    <w:rsid w:val="00C23C2B"/>
    <w:rsid w:val="00C2468F"/>
    <w:rsid w:val="00C24AED"/>
    <w:rsid w:val="00C2569F"/>
    <w:rsid w:val="00C26934"/>
    <w:rsid w:val="00C27358"/>
    <w:rsid w:val="00C30203"/>
    <w:rsid w:val="00C30C86"/>
    <w:rsid w:val="00C33EDD"/>
    <w:rsid w:val="00C3499B"/>
    <w:rsid w:val="00C34A2A"/>
    <w:rsid w:val="00C35125"/>
    <w:rsid w:val="00C3574A"/>
    <w:rsid w:val="00C35948"/>
    <w:rsid w:val="00C36B9D"/>
    <w:rsid w:val="00C37347"/>
    <w:rsid w:val="00C37444"/>
    <w:rsid w:val="00C379EA"/>
    <w:rsid w:val="00C40062"/>
    <w:rsid w:val="00C40DAC"/>
    <w:rsid w:val="00C41343"/>
    <w:rsid w:val="00C424F7"/>
    <w:rsid w:val="00C45522"/>
    <w:rsid w:val="00C465D5"/>
    <w:rsid w:val="00C4679E"/>
    <w:rsid w:val="00C468A2"/>
    <w:rsid w:val="00C46F5F"/>
    <w:rsid w:val="00C47D8F"/>
    <w:rsid w:val="00C51372"/>
    <w:rsid w:val="00C516FF"/>
    <w:rsid w:val="00C51716"/>
    <w:rsid w:val="00C54B02"/>
    <w:rsid w:val="00C573CF"/>
    <w:rsid w:val="00C60C30"/>
    <w:rsid w:val="00C61F2F"/>
    <w:rsid w:val="00C6280E"/>
    <w:rsid w:val="00C62D04"/>
    <w:rsid w:val="00C637EC"/>
    <w:rsid w:val="00C646E7"/>
    <w:rsid w:val="00C66632"/>
    <w:rsid w:val="00C667C8"/>
    <w:rsid w:val="00C67114"/>
    <w:rsid w:val="00C7095A"/>
    <w:rsid w:val="00C72BAD"/>
    <w:rsid w:val="00C74AF6"/>
    <w:rsid w:val="00C75A2F"/>
    <w:rsid w:val="00C769BD"/>
    <w:rsid w:val="00C76ABF"/>
    <w:rsid w:val="00C77474"/>
    <w:rsid w:val="00C77F21"/>
    <w:rsid w:val="00C804F6"/>
    <w:rsid w:val="00C82D3F"/>
    <w:rsid w:val="00C84491"/>
    <w:rsid w:val="00C84888"/>
    <w:rsid w:val="00C84D0D"/>
    <w:rsid w:val="00C85053"/>
    <w:rsid w:val="00C9172D"/>
    <w:rsid w:val="00C91B59"/>
    <w:rsid w:val="00C93CEB"/>
    <w:rsid w:val="00C95C2C"/>
    <w:rsid w:val="00C96ED7"/>
    <w:rsid w:val="00C9721F"/>
    <w:rsid w:val="00C9734B"/>
    <w:rsid w:val="00CA1B45"/>
    <w:rsid w:val="00CA4813"/>
    <w:rsid w:val="00CA4C31"/>
    <w:rsid w:val="00CA7901"/>
    <w:rsid w:val="00CA7B8F"/>
    <w:rsid w:val="00CB0753"/>
    <w:rsid w:val="00CB09B4"/>
    <w:rsid w:val="00CB12A6"/>
    <w:rsid w:val="00CB1726"/>
    <w:rsid w:val="00CB3EE5"/>
    <w:rsid w:val="00CB4B51"/>
    <w:rsid w:val="00CB668C"/>
    <w:rsid w:val="00CB689B"/>
    <w:rsid w:val="00CC6D45"/>
    <w:rsid w:val="00CD13B4"/>
    <w:rsid w:val="00CD1D7A"/>
    <w:rsid w:val="00CD1F1E"/>
    <w:rsid w:val="00CD3102"/>
    <w:rsid w:val="00CD4270"/>
    <w:rsid w:val="00CD7F46"/>
    <w:rsid w:val="00CE1886"/>
    <w:rsid w:val="00CE2A35"/>
    <w:rsid w:val="00CE4A22"/>
    <w:rsid w:val="00CE4E6C"/>
    <w:rsid w:val="00CE7DC4"/>
    <w:rsid w:val="00CF1512"/>
    <w:rsid w:val="00CF52FB"/>
    <w:rsid w:val="00CF6DB3"/>
    <w:rsid w:val="00CF6FE1"/>
    <w:rsid w:val="00D00EB2"/>
    <w:rsid w:val="00D01DA2"/>
    <w:rsid w:val="00D06F0E"/>
    <w:rsid w:val="00D10CE1"/>
    <w:rsid w:val="00D10EE3"/>
    <w:rsid w:val="00D128D5"/>
    <w:rsid w:val="00D1296D"/>
    <w:rsid w:val="00D13BB4"/>
    <w:rsid w:val="00D14A91"/>
    <w:rsid w:val="00D162CA"/>
    <w:rsid w:val="00D16735"/>
    <w:rsid w:val="00D20957"/>
    <w:rsid w:val="00D24770"/>
    <w:rsid w:val="00D27250"/>
    <w:rsid w:val="00D274A7"/>
    <w:rsid w:val="00D30EBF"/>
    <w:rsid w:val="00D32A41"/>
    <w:rsid w:val="00D3354C"/>
    <w:rsid w:val="00D356FC"/>
    <w:rsid w:val="00D3746D"/>
    <w:rsid w:val="00D40C25"/>
    <w:rsid w:val="00D41245"/>
    <w:rsid w:val="00D415CD"/>
    <w:rsid w:val="00D41867"/>
    <w:rsid w:val="00D423BF"/>
    <w:rsid w:val="00D43047"/>
    <w:rsid w:val="00D43A89"/>
    <w:rsid w:val="00D44086"/>
    <w:rsid w:val="00D441EB"/>
    <w:rsid w:val="00D45E13"/>
    <w:rsid w:val="00D45F1F"/>
    <w:rsid w:val="00D469DB"/>
    <w:rsid w:val="00D50D01"/>
    <w:rsid w:val="00D50FE7"/>
    <w:rsid w:val="00D5188A"/>
    <w:rsid w:val="00D5287A"/>
    <w:rsid w:val="00D52C32"/>
    <w:rsid w:val="00D5303D"/>
    <w:rsid w:val="00D57E59"/>
    <w:rsid w:val="00D60332"/>
    <w:rsid w:val="00D61258"/>
    <w:rsid w:val="00D634F7"/>
    <w:rsid w:val="00D6423E"/>
    <w:rsid w:val="00D64785"/>
    <w:rsid w:val="00D6647E"/>
    <w:rsid w:val="00D668B4"/>
    <w:rsid w:val="00D70527"/>
    <w:rsid w:val="00D715C7"/>
    <w:rsid w:val="00D73B80"/>
    <w:rsid w:val="00D74256"/>
    <w:rsid w:val="00D77484"/>
    <w:rsid w:val="00D77AA4"/>
    <w:rsid w:val="00D8081B"/>
    <w:rsid w:val="00D80E50"/>
    <w:rsid w:val="00D81DCC"/>
    <w:rsid w:val="00D83E3D"/>
    <w:rsid w:val="00D84EE0"/>
    <w:rsid w:val="00D855EC"/>
    <w:rsid w:val="00D85989"/>
    <w:rsid w:val="00D86859"/>
    <w:rsid w:val="00D8774F"/>
    <w:rsid w:val="00D906A9"/>
    <w:rsid w:val="00D937D9"/>
    <w:rsid w:val="00D93930"/>
    <w:rsid w:val="00D93BC7"/>
    <w:rsid w:val="00D93E8E"/>
    <w:rsid w:val="00D949C1"/>
    <w:rsid w:val="00D96088"/>
    <w:rsid w:val="00DA2B94"/>
    <w:rsid w:val="00DA326A"/>
    <w:rsid w:val="00DA33A0"/>
    <w:rsid w:val="00DA4E96"/>
    <w:rsid w:val="00DA581F"/>
    <w:rsid w:val="00DA691F"/>
    <w:rsid w:val="00DA7968"/>
    <w:rsid w:val="00DB04D4"/>
    <w:rsid w:val="00DB1C4B"/>
    <w:rsid w:val="00DB29DB"/>
    <w:rsid w:val="00DB4491"/>
    <w:rsid w:val="00DB5838"/>
    <w:rsid w:val="00DB5918"/>
    <w:rsid w:val="00DB5C12"/>
    <w:rsid w:val="00DB65C3"/>
    <w:rsid w:val="00DB7151"/>
    <w:rsid w:val="00DB7737"/>
    <w:rsid w:val="00DB7C35"/>
    <w:rsid w:val="00DC12AC"/>
    <w:rsid w:val="00DC1312"/>
    <w:rsid w:val="00DC33CD"/>
    <w:rsid w:val="00DC35E8"/>
    <w:rsid w:val="00DC4467"/>
    <w:rsid w:val="00DC7F55"/>
    <w:rsid w:val="00DD23DD"/>
    <w:rsid w:val="00DD5369"/>
    <w:rsid w:val="00DD6D7E"/>
    <w:rsid w:val="00DE1D33"/>
    <w:rsid w:val="00DE3A88"/>
    <w:rsid w:val="00DE498F"/>
    <w:rsid w:val="00DE521E"/>
    <w:rsid w:val="00DE5F8A"/>
    <w:rsid w:val="00DE62D8"/>
    <w:rsid w:val="00DE7A47"/>
    <w:rsid w:val="00DF05F7"/>
    <w:rsid w:val="00DF0D0E"/>
    <w:rsid w:val="00DF1C13"/>
    <w:rsid w:val="00DF24DA"/>
    <w:rsid w:val="00DF26D3"/>
    <w:rsid w:val="00DF448D"/>
    <w:rsid w:val="00DF55AB"/>
    <w:rsid w:val="00DF5AA5"/>
    <w:rsid w:val="00DF6C2A"/>
    <w:rsid w:val="00DF6F27"/>
    <w:rsid w:val="00E00420"/>
    <w:rsid w:val="00E034F4"/>
    <w:rsid w:val="00E05F06"/>
    <w:rsid w:val="00E07686"/>
    <w:rsid w:val="00E07D29"/>
    <w:rsid w:val="00E101AD"/>
    <w:rsid w:val="00E12B31"/>
    <w:rsid w:val="00E12BF4"/>
    <w:rsid w:val="00E13672"/>
    <w:rsid w:val="00E13E26"/>
    <w:rsid w:val="00E1713F"/>
    <w:rsid w:val="00E1724C"/>
    <w:rsid w:val="00E21C91"/>
    <w:rsid w:val="00E244CF"/>
    <w:rsid w:val="00E24F56"/>
    <w:rsid w:val="00E26859"/>
    <w:rsid w:val="00E26B43"/>
    <w:rsid w:val="00E26BE0"/>
    <w:rsid w:val="00E30FC8"/>
    <w:rsid w:val="00E317EE"/>
    <w:rsid w:val="00E327B9"/>
    <w:rsid w:val="00E3320D"/>
    <w:rsid w:val="00E33E8B"/>
    <w:rsid w:val="00E36041"/>
    <w:rsid w:val="00E4053E"/>
    <w:rsid w:val="00E41416"/>
    <w:rsid w:val="00E424A6"/>
    <w:rsid w:val="00E4374F"/>
    <w:rsid w:val="00E43905"/>
    <w:rsid w:val="00E43907"/>
    <w:rsid w:val="00E44445"/>
    <w:rsid w:val="00E45175"/>
    <w:rsid w:val="00E473FA"/>
    <w:rsid w:val="00E5034D"/>
    <w:rsid w:val="00E52786"/>
    <w:rsid w:val="00E53604"/>
    <w:rsid w:val="00E55BD9"/>
    <w:rsid w:val="00E57764"/>
    <w:rsid w:val="00E57C7D"/>
    <w:rsid w:val="00E57F11"/>
    <w:rsid w:val="00E605BE"/>
    <w:rsid w:val="00E6072E"/>
    <w:rsid w:val="00E64A13"/>
    <w:rsid w:val="00E64D5E"/>
    <w:rsid w:val="00E67659"/>
    <w:rsid w:val="00E71850"/>
    <w:rsid w:val="00E71D37"/>
    <w:rsid w:val="00E71D74"/>
    <w:rsid w:val="00E71FBE"/>
    <w:rsid w:val="00E7303F"/>
    <w:rsid w:val="00E74FB9"/>
    <w:rsid w:val="00E771D9"/>
    <w:rsid w:val="00E81348"/>
    <w:rsid w:val="00E81454"/>
    <w:rsid w:val="00E81D37"/>
    <w:rsid w:val="00E82996"/>
    <w:rsid w:val="00E836F4"/>
    <w:rsid w:val="00E84472"/>
    <w:rsid w:val="00E85408"/>
    <w:rsid w:val="00E90151"/>
    <w:rsid w:val="00E90842"/>
    <w:rsid w:val="00E90978"/>
    <w:rsid w:val="00E949BC"/>
    <w:rsid w:val="00E95B75"/>
    <w:rsid w:val="00E95C70"/>
    <w:rsid w:val="00E96AB6"/>
    <w:rsid w:val="00E96EC5"/>
    <w:rsid w:val="00E972B4"/>
    <w:rsid w:val="00E97EAC"/>
    <w:rsid w:val="00EA0A90"/>
    <w:rsid w:val="00EA1F75"/>
    <w:rsid w:val="00EA24D1"/>
    <w:rsid w:val="00EA2859"/>
    <w:rsid w:val="00EA29ED"/>
    <w:rsid w:val="00EA35AE"/>
    <w:rsid w:val="00EA49EC"/>
    <w:rsid w:val="00EA54AD"/>
    <w:rsid w:val="00EA6EA1"/>
    <w:rsid w:val="00EA75C8"/>
    <w:rsid w:val="00EA78DA"/>
    <w:rsid w:val="00EB092D"/>
    <w:rsid w:val="00EB2055"/>
    <w:rsid w:val="00EB3A59"/>
    <w:rsid w:val="00EC15A5"/>
    <w:rsid w:val="00EC1FB0"/>
    <w:rsid w:val="00EC2873"/>
    <w:rsid w:val="00EC3B60"/>
    <w:rsid w:val="00EC3D20"/>
    <w:rsid w:val="00EC608E"/>
    <w:rsid w:val="00EC6E7F"/>
    <w:rsid w:val="00EC6ED0"/>
    <w:rsid w:val="00EC7B15"/>
    <w:rsid w:val="00ED009B"/>
    <w:rsid w:val="00ED0D4C"/>
    <w:rsid w:val="00ED1628"/>
    <w:rsid w:val="00ED32FF"/>
    <w:rsid w:val="00ED5557"/>
    <w:rsid w:val="00ED69AF"/>
    <w:rsid w:val="00ED7BCC"/>
    <w:rsid w:val="00EE1142"/>
    <w:rsid w:val="00EE2E89"/>
    <w:rsid w:val="00EE4C0E"/>
    <w:rsid w:val="00EE4CB0"/>
    <w:rsid w:val="00EE5E54"/>
    <w:rsid w:val="00EF0BAB"/>
    <w:rsid w:val="00EF3AD1"/>
    <w:rsid w:val="00EF3B5C"/>
    <w:rsid w:val="00EF3BC5"/>
    <w:rsid w:val="00EF4324"/>
    <w:rsid w:val="00EF4EB2"/>
    <w:rsid w:val="00EF587B"/>
    <w:rsid w:val="00EF5D91"/>
    <w:rsid w:val="00EF649C"/>
    <w:rsid w:val="00EF7B3D"/>
    <w:rsid w:val="00F03563"/>
    <w:rsid w:val="00F0533E"/>
    <w:rsid w:val="00F069CD"/>
    <w:rsid w:val="00F06A96"/>
    <w:rsid w:val="00F11BE0"/>
    <w:rsid w:val="00F14252"/>
    <w:rsid w:val="00F15F86"/>
    <w:rsid w:val="00F15FBC"/>
    <w:rsid w:val="00F209B2"/>
    <w:rsid w:val="00F219DC"/>
    <w:rsid w:val="00F22D18"/>
    <w:rsid w:val="00F258A2"/>
    <w:rsid w:val="00F26E61"/>
    <w:rsid w:val="00F27438"/>
    <w:rsid w:val="00F322A2"/>
    <w:rsid w:val="00F328E6"/>
    <w:rsid w:val="00F33ED6"/>
    <w:rsid w:val="00F36687"/>
    <w:rsid w:val="00F406FC"/>
    <w:rsid w:val="00F421E7"/>
    <w:rsid w:val="00F42302"/>
    <w:rsid w:val="00F434D9"/>
    <w:rsid w:val="00F43A6D"/>
    <w:rsid w:val="00F445E1"/>
    <w:rsid w:val="00F45003"/>
    <w:rsid w:val="00F5109D"/>
    <w:rsid w:val="00F55980"/>
    <w:rsid w:val="00F56071"/>
    <w:rsid w:val="00F572F9"/>
    <w:rsid w:val="00F5753D"/>
    <w:rsid w:val="00F57F9C"/>
    <w:rsid w:val="00F60E6E"/>
    <w:rsid w:val="00F61065"/>
    <w:rsid w:val="00F61638"/>
    <w:rsid w:val="00F61E6B"/>
    <w:rsid w:val="00F627EF"/>
    <w:rsid w:val="00F65A66"/>
    <w:rsid w:val="00F67A11"/>
    <w:rsid w:val="00F7097C"/>
    <w:rsid w:val="00F70DC6"/>
    <w:rsid w:val="00F711D4"/>
    <w:rsid w:val="00F71DBB"/>
    <w:rsid w:val="00F72ED4"/>
    <w:rsid w:val="00F775E8"/>
    <w:rsid w:val="00F8239C"/>
    <w:rsid w:val="00F83269"/>
    <w:rsid w:val="00F83D00"/>
    <w:rsid w:val="00F866CE"/>
    <w:rsid w:val="00F90A47"/>
    <w:rsid w:val="00F91CFA"/>
    <w:rsid w:val="00F920EC"/>
    <w:rsid w:val="00F9413D"/>
    <w:rsid w:val="00F94E49"/>
    <w:rsid w:val="00FA4404"/>
    <w:rsid w:val="00FA456A"/>
    <w:rsid w:val="00FA58B4"/>
    <w:rsid w:val="00FA7A05"/>
    <w:rsid w:val="00FB0E9A"/>
    <w:rsid w:val="00FB2E88"/>
    <w:rsid w:val="00FB321C"/>
    <w:rsid w:val="00FB3AA9"/>
    <w:rsid w:val="00FB5264"/>
    <w:rsid w:val="00FB6F34"/>
    <w:rsid w:val="00FB77E4"/>
    <w:rsid w:val="00FB7978"/>
    <w:rsid w:val="00FB7991"/>
    <w:rsid w:val="00FC1855"/>
    <w:rsid w:val="00FC203E"/>
    <w:rsid w:val="00FC358B"/>
    <w:rsid w:val="00FC3AFC"/>
    <w:rsid w:val="00FC47AD"/>
    <w:rsid w:val="00FC5805"/>
    <w:rsid w:val="00FC5E04"/>
    <w:rsid w:val="00FC6DDD"/>
    <w:rsid w:val="00FC7112"/>
    <w:rsid w:val="00FC7635"/>
    <w:rsid w:val="00FD0251"/>
    <w:rsid w:val="00FD07CE"/>
    <w:rsid w:val="00FD0F2A"/>
    <w:rsid w:val="00FE0865"/>
    <w:rsid w:val="00FE178E"/>
    <w:rsid w:val="00FE2F90"/>
    <w:rsid w:val="00FE5EE0"/>
    <w:rsid w:val="00FE6BBE"/>
    <w:rsid w:val="00FF02B4"/>
    <w:rsid w:val="00FF0D46"/>
    <w:rsid w:val="00FF3281"/>
    <w:rsid w:val="00FF3788"/>
    <w:rsid w:val="00FF3A2F"/>
    <w:rsid w:val="00FF3B3A"/>
    <w:rsid w:val="00FF4E9D"/>
    <w:rsid w:val="00FF5A3A"/>
    <w:rsid w:val="00FF71A2"/>
    <w:rsid w:val="01704547"/>
    <w:rsid w:val="0235FA22"/>
    <w:rsid w:val="0248E9A6"/>
    <w:rsid w:val="02FF1D73"/>
    <w:rsid w:val="03EAF2E0"/>
    <w:rsid w:val="043A05FB"/>
    <w:rsid w:val="07717A92"/>
    <w:rsid w:val="07D74FBA"/>
    <w:rsid w:val="0B2CCFCA"/>
    <w:rsid w:val="0BDCDC68"/>
    <w:rsid w:val="0BF604C5"/>
    <w:rsid w:val="0C620694"/>
    <w:rsid w:val="0C8A2E36"/>
    <w:rsid w:val="0D4EC1B0"/>
    <w:rsid w:val="0E6498D3"/>
    <w:rsid w:val="0E7D4D4E"/>
    <w:rsid w:val="0FBD6207"/>
    <w:rsid w:val="0FBE644A"/>
    <w:rsid w:val="105A86DA"/>
    <w:rsid w:val="10C975E8"/>
    <w:rsid w:val="124C1DEC"/>
    <w:rsid w:val="12C5CFA6"/>
    <w:rsid w:val="12CC9C74"/>
    <w:rsid w:val="13FE362D"/>
    <w:rsid w:val="1439581B"/>
    <w:rsid w:val="146E22F0"/>
    <w:rsid w:val="14DC15CE"/>
    <w:rsid w:val="16E22FFB"/>
    <w:rsid w:val="1886BA8E"/>
    <w:rsid w:val="19769DC5"/>
    <w:rsid w:val="198E4B43"/>
    <w:rsid w:val="1A4D6AC1"/>
    <w:rsid w:val="1A5CF039"/>
    <w:rsid w:val="1A5F1D57"/>
    <w:rsid w:val="1AD2A161"/>
    <w:rsid w:val="1ADECAB8"/>
    <w:rsid w:val="1D6F614B"/>
    <w:rsid w:val="1D96BE19"/>
    <w:rsid w:val="1E053EE8"/>
    <w:rsid w:val="1E9048B2"/>
    <w:rsid w:val="1F8E726B"/>
    <w:rsid w:val="1FCE33A7"/>
    <w:rsid w:val="200ED385"/>
    <w:rsid w:val="201299E5"/>
    <w:rsid w:val="20B45436"/>
    <w:rsid w:val="213E9CF9"/>
    <w:rsid w:val="21C924FE"/>
    <w:rsid w:val="223DECFD"/>
    <w:rsid w:val="2314FA2E"/>
    <w:rsid w:val="23170F37"/>
    <w:rsid w:val="24F89C69"/>
    <w:rsid w:val="261E5226"/>
    <w:rsid w:val="26960C4F"/>
    <w:rsid w:val="27D46599"/>
    <w:rsid w:val="28F1604B"/>
    <w:rsid w:val="29260EF4"/>
    <w:rsid w:val="29329E05"/>
    <w:rsid w:val="298F8972"/>
    <w:rsid w:val="29A85F73"/>
    <w:rsid w:val="2AE94B13"/>
    <w:rsid w:val="2B2E2008"/>
    <w:rsid w:val="2B6E0CBD"/>
    <w:rsid w:val="2C0D158D"/>
    <w:rsid w:val="2CAC9BE2"/>
    <w:rsid w:val="2E1662DC"/>
    <w:rsid w:val="2EC33202"/>
    <w:rsid w:val="302F5266"/>
    <w:rsid w:val="3046F619"/>
    <w:rsid w:val="31F46902"/>
    <w:rsid w:val="32A55159"/>
    <w:rsid w:val="333DAD4A"/>
    <w:rsid w:val="35675C30"/>
    <w:rsid w:val="35730BBA"/>
    <w:rsid w:val="35745F75"/>
    <w:rsid w:val="35FC2417"/>
    <w:rsid w:val="37A9F02F"/>
    <w:rsid w:val="37AFAB34"/>
    <w:rsid w:val="37FF5B6F"/>
    <w:rsid w:val="3809A52D"/>
    <w:rsid w:val="382E5EBF"/>
    <w:rsid w:val="38D8A633"/>
    <w:rsid w:val="396EFCBA"/>
    <w:rsid w:val="39BBCFBE"/>
    <w:rsid w:val="3A509CB8"/>
    <w:rsid w:val="3B4BBD82"/>
    <w:rsid w:val="3B4E9DF5"/>
    <w:rsid w:val="3B7F27DE"/>
    <w:rsid w:val="3BA64BC7"/>
    <w:rsid w:val="3C7B2A16"/>
    <w:rsid w:val="3C923846"/>
    <w:rsid w:val="3CA431A7"/>
    <w:rsid w:val="3D981855"/>
    <w:rsid w:val="3DB91F37"/>
    <w:rsid w:val="3DD42197"/>
    <w:rsid w:val="3E556A61"/>
    <w:rsid w:val="3F76C4B0"/>
    <w:rsid w:val="402BDDE6"/>
    <w:rsid w:val="4044BAC5"/>
    <w:rsid w:val="4058AD0F"/>
    <w:rsid w:val="41734638"/>
    <w:rsid w:val="41907EC8"/>
    <w:rsid w:val="41B5AC8C"/>
    <w:rsid w:val="41D54105"/>
    <w:rsid w:val="42B22653"/>
    <w:rsid w:val="43778644"/>
    <w:rsid w:val="43BAF09E"/>
    <w:rsid w:val="43CC1EFA"/>
    <w:rsid w:val="4461D7BF"/>
    <w:rsid w:val="44AD47BE"/>
    <w:rsid w:val="45CF64CE"/>
    <w:rsid w:val="4608EA73"/>
    <w:rsid w:val="4654DFB0"/>
    <w:rsid w:val="46C9A120"/>
    <w:rsid w:val="47290EBB"/>
    <w:rsid w:val="483347B2"/>
    <w:rsid w:val="485062C3"/>
    <w:rsid w:val="4879D231"/>
    <w:rsid w:val="496701DA"/>
    <w:rsid w:val="49BD916E"/>
    <w:rsid w:val="4BCD5686"/>
    <w:rsid w:val="4C3C91B2"/>
    <w:rsid w:val="4CF504EE"/>
    <w:rsid w:val="4D54264A"/>
    <w:rsid w:val="4D953639"/>
    <w:rsid w:val="4DD8C5EF"/>
    <w:rsid w:val="4E71C2EB"/>
    <w:rsid w:val="4E73B66A"/>
    <w:rsid w:val="4F4285F9"/>
    <w:rsid w:val="4F67E5CC"/>
    <w:rsid w:val="4FC3C610"/>
    <w:rsid w:val="50966D06"/>
    <w:rsid w:val="509E2DA1"/>
    <w:rsid w:val="5132B052"/>
    <w:rsid w:val="518818DF"/>
    <w:rsid w:val="51C5251F"/>
    <w:rsid w:val="529EF946"/>
    <w:rsid w:val="52ED61A9"/>
    <w:rsid w:val="52F21B3C"/>
    <w:rsid w:val="530958CE"/>
    <w:rsid w:val="53557449"/>
    <w:rsid w:val="535D0D1D"/>
    <w:rsid w:val="545ED289"/>
    <w:rsid w:val="5510CB0F"/>
    <w:rsid w:val="556FE684"/>
    <w:rsid w:val="56319B17"/>
    <w:rsid w:val="57997088"/>
    <w:rsid w:val="58F58682"/>
    <w:rsid w:val="5953067A"/>
    <w:rsid w:val="5956AC37"/>
    <w:rsid w:val="5977B591"/>
    <w:rsid w:val="5A73B05B"/>
    <w:rsid w:val="5A90F7EA"/>
    <w:rsid w:val="5B408518"/>
    <w:rsid w:val="5B7FFE61"/>
    <w:rsid w:val="5C0A5D5F"/>
    <w:rsid w:val="5C44309C"/>
    <w:rsid w:val="5C6CE1AB"/>
    <w:rsid w:val="5CB0957A"/>
    <w:rsid w:val="5CDE522C"/>
    <w:rsid w:val="5DEA7393"/>
    <w:rsid w:val="5DF77735"/>
    <w:rsid w:val="5E4DDA22"/>
    <w:rsid w:val="5EAE4DB4"/>
    <w:rsid w:val="5FA946FB"/>
    <w:rsid w:val="6087DE21"/>
    <w:rsid w:val="6106044B"/>
    <w:rsid w:val="614052CE"/>
    <w:rsid w:val="61E49663"/>
    <w:rsid w:val="62EAA761"/>
    <w:rsid w:val="637AE34C"/>
    <w:rsid w:val="63AB4680"/>
    <w:rsid w:val="6466B8B9"/>
    <w:rsid w:val="66269A6E"/>
    <w:rsid w:val="66C2469B"/>
    <w:rsid w:val="67F8F68B"/>
    <w:rsid w:val="68E313F4"/>
    <w:rsid w:val="69535239"/>
    <w:rsid w:val="6A15D2F9"/>
    <w:rsid w:val="6B361715"/>
    <w:rsid w:val="6B4BC5CB"/>
    <w:rsid w:val="6BBDADB5"/>
    <w:rsid w:val="6C5013DB"/>
    <w:rsid w:val="6C9792E9"/>
    <w:rsid w:val="6D19CE25"/>
    <w:rsid w:val="6D4394EA"/>
    <w:rsid w:val="6D9CBA28"/>
    <w:rsid w:val="6DFEFE2F"/>
    <w:rsid w:val="6E653208"/>
    <w:rsid w:val="6E9C0762"/>
    <w:rsid w:val="6F1A4862"/>
    <w:rsid w:val="6F430788"/>
    <w:rsid w:val="6FE83012"/>
    <w:rsid w:val="7038E561"/>
    <w:rsid w:val="70C53349"/>
    <w:rsid w:val="70EFD5EA"/>
    <w:rsid w:val="71A90D03"/>
    <w:rsid w:val="7214A4A5"/>
    <w:rsid w:val="7252E3AF"/>
    <w:rsid w:val="72A68FE8"/>
    <w:rsid w:val="730FA230"/>
    <w:rsid w:val="7340099D"/>
    <w:rsid w:val="7695F540"/>
    <w:rsid w:val="76A3C1E6"/>
    <w:rsid w:val="779DAF73"/>
    <w:rsid w:val="77BC6ACB"/>
    <w:rsid w:val="784B36A8"/>
    <w:rsid w:val="788F17DB"/>
    <w:rsid w:val="79309644"/>
    <w:rsid w:val="7AF40B8D"/>
    <w:rsid w:val="7B82D434"/>
    <w:rsid w:val="7BA9BDAC"/>
    <w:rsid w:val="7BE550F5"/>
    <w:rsid w:val="7C73DFB3"/>
    <w:rsid w:val="7E2BDA4A"/>
    <w:rsid w:val="7F22F2EF"/>
    <w:rsid w:val="7F63EF39"/>
    <w:rsid w:val="7FC77CB0"/>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8AC3E"/>
  <w15:chartTrackingRefBased/>
  <w15:docId w15:val="{7A767846-EE3D-44FF-8789-48CE49C78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69C"/>
    <w:rPr>
      <w:rFonts w:ascii="Aptos" w:hAnsi="Aptos"/>
      <w:iCs/>
      <w:szCs w:val="18"/>
      <w:lang w:val="en-GB"/>
    </w:rPr>
  </w:style>
  <w:style w:type="paragraph" w:styleId="Titre1">
    <w:name w:val="heading 1"/>
    <w:basedOn w:val="Titre2"/>
    <w:next w:val="Normal"/>
    <w:link w:val="Titre1Car"/>
    <w:uiPriority w:val="9"/>
    <w:qFormat/>
    <w:rsid w:val="004A7E5E"/>
    <w:pPr>
      <w:numPr>
        <w:ilvl w:val="0"/>
      </w:numPr>
      <w:outlineLvl w:val="0"/>
    </w:pPr>
    <w:rPr>
      <w:sz w:val="28"/>
      <w:szCs w:val="28"/>
    </w:rPr>
  </w:style>
  <w:style w:type="paragraph" w:styleId="Titre2">
    <w:name w:val="heading 2"/>
    <w:basedOn w:val="Normal"/>
    <w:next w:val="Normal"/>
    <w:link w:val="Titre2Car"/>
    <w:uiPriority w:val="9"/>
    <w:unhideWhenUsed/>
    <w:qFormat/>
    <w:rsid w:val="004A7E5E"/>
    <w:pPr>
      <w:keepNext/>
      <w:keepLines/>
      <w:numPr>
        <w:ilvl w:val="1"/>
        <w:numId w:val="108"/>
      </w:numPr>
      <w:spacing w:before="40" w:after="0"/>
      <w:outlineLvl w:val="1"/>
    </w:pPr>
    <w:rPr>
      <w:rFonts w:eastAsiaTheme="majorEastAsia" w:cstheme="majorBidi"/>
      <w:b/>
      <w:bCs/>
      <w:color w:val="003399"/>
      <w:sz w:val="24"/>
      <w:szCs w:val="24"/>
    </w:rPr>
  </w:style>
  <w:style w:type="paragraph" w:styleId="Titre3">
    <w:name w:val="heading 3"/>
    <w:basedOn w:val="Normal"/>
    <w:next w:val="Normal"/>
    <w:link w:val="Titre3Car"/>
    <w:uiPriority w:val="9"/>
    <w:unhideWhenUsed/>
    <w:qFormat/>
    <w:rsid w:val="004A7E5E"/>
    <w:pPr>
      <w:keepNext/>
      <w:keepLines/>
      <w:numPr>
        <w:ilvl w:val="2"/>
        <w:numId w:val="108"/>
      </w:numPr>
      <w:spacing w:before="40" w:after="0"/>
      <w:outlineLvl w:val="2"/>
    </w:pPr>
    <w:rPr>
      <w:rFonts w:eastAsia="Times New Roman" w:cstheme="majorBidi"/>
      <w:b/>
      <w:bCs/>
      <w:color w:val="003399"/>
      <w:szCs w:val="22"/>
    </w:rPr>
  </w:style>
  <w:style w:type="paragraph" w:styleId="Titre4">
    <w:name w:val="heading 4"/>
    <w:basedOn w:val="Titre3"/>
    <w:next w:val="Normal"/>
    <w:link w:val="Titre4Car"/>
    <w:uiPriority w:val="9"/>
    <w:unhideWhenUsed/>
    <w:qFormat/>
    <w:rsid w:val="004620A2"/>
    <w:pPr>
      <w:numPr>
        <w:ilvl w:val="3"/>
      </w:numPr>
      <w:outlineLvl w:val="3"/>
    </w:pPr>
    <w:rPr>
      <w:b w:val="0"/>
      <w:bCs w:val="0"/>
    </w:rPr>
  </w:style>
  <w:style w:type="paragraph" w:styleId="Titre5">
    <w:name w:val="heading 5"/>
    <w:basedOn w:val="Normal"/>
    <w:next w:val="Normal"/>
    <w:link w:val="Titre5Car"/>
    <w:uiPriority w:val="9"/>
    <w:unhideWhenUsed/>
    <w:qFormat/>
    <w:rsid w:val="00CB0753"/>
    <w:pPr>
      <w:keepNext/>
      <w:keepLines/>
      <w:spacing w:before="40" w:after="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A4734C"/>
    <w:pPr>
      <w:keepNext/>
      <w:keepLines/>
      <w:spacing w:before="40" w:after="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F26E61"/>
    <w:pPr>
      <w:keepNext/>
      <w:keepLines/>
      <w:spacing w:before="40" w:after="0"/>
      <w:outlineLvl w:val="6"/>
    </w:pPr>
    <w:rPr>
      <w:rFonts w:asciiTheme="minorHAnsi" w:eastAsiaTheme="majorEastAsia" w:hAnsiTheme="minorHAnsi" w:cstheme="majorBidi"/>
      <w:color w:val="595959" w:themeColor="text1" w:themeTint="A6"/>
      <w:sz w:val="18"/>
    </w:rPr>
  </w:style>
  <w:style w:type="paragraph" w:styleId="Titre8">
    <w:name w:val="heading 8"/>
    <w:basedOn w:val="Normal"/>
    <w:next w:val="Normal"/>
    <w:link w:val="Titre8Car"/>
    <w:uiPriority w:val="9"/>
    <w:semiHidden/>
    <w:unhideWhenUsed/>
    <w:qFormat/>
    <w:rsid w:val="00F26E61"/>
    <w:pPr>
      <w:keepNext/>
      <w:keepLines/>
      <w:spacing w:after="0"/>
      <w:outlineLvl w:val="7"/>
    </w:pPr>
    <w:rPr>
      <w:rFonts w:asciiTheme="minorHAnsi" w:eastAsiaTheme="majorEastAsia" w:hAnsiTheme="minorHAnsi" w:cstheme="majorBidi"/>
      <w:i/>
      <w:iCs w:val="0"/>
      <w:color w:val="272727" w:themeColor="text1" w:themeTint="D8"/>
      <w:sz w:val="18"/>
    </w:rPr>
  </w:style>
  <w:style w:type="paragraph" w:styleId="Titre9">
    <w:name w:val="heading 9"/>
    <w:basedOn w:val="Normal"/>
    <w:next w:val="Normal"/>
    <w:link w:val="Titre9Car"/>
    <w:uiPriority w:val="9"/>
    <w:semiHidden/>
    <w:unhideWhenUsed/>
    <w:qFormat/>
    <w:rsid w:val="00F26E61"/>
    <w:pPr>
      <w:keepNext/>
      <w:keepLines/>
      <w:spacing w:after="0"/>
      <w:outlineLvl w:val="8"/>
    </w:pPr>
    <w:rPr>
      <w:rFonts w:asciiTheme="minorHAnsi" w:eastAsiaTheme="majorEastAsia" w:hAnsiTheme="minorHAnsi" w:cstheme="majorBidi"/>
      <w:color w:val="272727" w:themeColor="text1" w:themeTint="D8"/>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915DBC"/>
    <w:pPr>
      <w:spacing w:after="0" w:line="240" w:lineRule="auto"/>
      <w:contextualSpacing/>
    </w:pPr>
    <w:rPr>
      <w:rFonts w:asciiTheme="majorHAnsi" w:eastAsiaTheme="majorEastAsia" w:hAnsiTheme="majorHAnsi" w:cstheme="majorBidi"/>
      <w:spacing w:val="-10"/>
      <w:kern w:val="28"/>
      <w:sz w:val="28"/>
      <w:szCs w:val="28"/>
    </w:rPr>
  </w:style>
  <w:style w:type="character" w:customStyle="1" w:styleId="TitreCar">
    <w:name w:val="Titre Car"/>
    <w:basedOn w:val="Policepardfaut"/>
    <w:link w:val="Titre"/>
    <w:uiPriority w:val="10"/>
    <w:rsid w:val="00915DBC"/>
    <w:rPr>
      <w:rFonts w:asciiTheme="majorHAnsi" w:eastAsiaTheme="majorEastAsia" w:hAnsiTheme="majorHAnsi" w:cstheme="majorBidi"/>
      <w:spacing w:val="-10"/>
      <w:kern w:val="28"/>
      <w:sz w:val="28"/>
      <w:szCs w:val="28"/>
      <w:lang w:val="en-GB"/>
    </w:rPr>
  </w:style>
  <w:style w:type="character" w:customStyle="1" w:styleId="Titre1Car">
    <w:name w:val="Titre 1 Car"/>
    <w:basedOn w:val="Policepardfaut"/>
    <w:link w:val="Titre1"/>
    <w:uiPriority w:val="9"/>
    <w:rsid w:val="004A7E5E"/>
    <w:rPr>
      <w:rFonts w:ascii="Aptos" w:eastAsiaTheme="majorEastAsia" w:hAnsi="Aptos" w:cstheme="majorBidi"/>
      <w:b/>
      <w:bCs/>
      <w:iCs/>
      <w:color w:val="003399"/>
      <w:sz w:val="28"/>
      <w:szCs w:val="28"/>
      <w:lang w:val="en-GB"/>
    </w:rPr>
  </w:style>
  <w:style w:type="paragraph" w:styleId="Notedebasdepage">
    <w:name w:val="footnote text"/>
    <w:basedOn w:val="Normal"/>
    <w:link w:val="NotedebasdepageCar"/>
    <w:uiPriority w:val="99"/>
    <w:unhideWhenUsed/>
    <w:rsid w:val="005374E1"/>
    <w:pPr>
      <w:spacing w:after="0" w:line="240" w:lineRule="auto"/>
    </w:pPr>
    <w:rPr>
      <w:sz w:val="20"/>
      <w:szCs w:val="20"/>
    </w:rPr>
  </w:style>
  <w:style w:type="character" w:customStyle="1" w:styleId="NotedebasdepageCar">
    <w:name w:val="Note de bas de page Car"/>
    <w:basedOn w:val="Policepardfaut"/>
    <w:link w:val="Notedebasdepage"/>
    <w:uiPriority w:val="99"/>
    <w:rsid w:val="005374E1"/>
    <w:rPr>
      <w:sz w:val="20"/>
      <w:szCs w:val="20"/>
    </w:rPr>
  </w:style>
  <w:style w:type="character" w:styleId="Appelnotedebasdep">
    <w:name w:val="footnote reference"/>
    <w:basedOn w:val="Policepardfaut"/>
    <w:uiPriority w:val="99"/>
    <w:semiHidden/>
    <w:unhideWhenUsed/>
    <w:rsid w:val="005374E1"/>
    <w:rPr>
      <w:vertAlign w:val="superscript"/>
    </w:rPr>
  </w:style>
  <w:style w:type="paragraph" w:styleId="Paragraphedeliste">
    <w:name w:val="List Paragraph"/>
    <w:basedOn w:val="Normal"/>
    <w:uiPriority w:val="34"/>
    <w:qFormat/>
    <w:rsid w:val="00006A87"/>
    <w:pPr>
      <w:ind w:left="720"/>
      <w:contextualSpacing/>
    </w:pPr>
  </w:style>
  <w:style w:type="character" w:styleId="Marquedecommentaire">
    <w:name w:val="annotation reference"/>
    <w:basedOn w:val="Policepardfaut"/>
    <w:uiPriority w:val="99"/>
    <w:semiHidden/>
    <w:unhideWhenUsed/>
    <w:rsid w:val="009444BA"/>
    <w:rPr>
      <w:sz w:val="16"/>
      <w:szCs w:val="16"/>
    </w:rPr>
  </w:style>
  <w:style w:type="paragraph" w:styleId="Commentaire">
    <w:name w:val="annotation text"/>
    <w:basedOn w:val="Normal"/>
    <w:link w:val="CommentaireCar"/>
    <w:uiPriority w:val="99"/>
    <w:unhideWhenUsed/>
    <w:rsid w:val="009444BA"/>
    <w:pPr>
      <w:spacing w:line="240" w:lineRule="auto"/>
    </w:pPr>
    <w:rPr>
      <w:sz w:val="20"/>
      <w:szCs w:val="20"/>
    </w:rPr>
  </w:style>
  <w:style w:type="character" w:customStyle="1" w:styleId="CommentaireCar">
    <w:name w:val="Commentaire Car"/>
    <w:basedOn w:val="Policepardfaut"/>
    <w:link w:val="Commentaire"/>
    <w:uiPriority w:val="99"/>
    <w:rsid w:val="009444BA"/>
    <w:rPr>
      <w:iCs/>
      <w:sz w:val="20"/>
      <w:szCs w:val="20"/>
      <w:lang w:val="en-GB"/>
    </w:rPr>
  </w:style>
  <w:style w:type="paragraph" w:styleId="Objetducommentaire">
    <w:name w:val="annotation subject"/>
    <w:basedOn w:val="Commentaire"/>
    <w:next w:val="Commentaire"/>
    <w:link w:val="ObjetducommentaireCar"/>
    <w:uiPriority w:val="99"/>
    <w:semiHidden/>
    <w:unhideWhenUsed/>
    <w:rsid w:val="009444BA"/>
    <w:rPr>
      <w:b/>
      <w:bCs/>
    </w:rPr>
  </w:style>
  <w:style w:type="character" w:customStyle="1" w:styleId="ObjetducommentaireCar">
    <w:name w:val="Objet du commentaire Car"/>
    <w:basedOn w:val="CommentaireCar"/>
    <w:link w:val="Objetducommentaire"/>
    <w:uiPriority w:val="99"/>
    <w:semiHidden/>
    <w:rsid w:val="009444BA"/>
    <w:rPr>
      <w:b/>
      <w:bCs/>
      <w:iCs/>
      <w:sz w:val="20"/>
      <w:szCs w:val="20"/>
      <w:lang w:val="en-GB"/>
    </w:rPr>
  </w:style>
  <w:style w:type="character" w:styleId="Lienhypertexte">
    <w:name w:val="Hyperlink"/>
    <w:basedOn w:val="Policepardfaut"/>
    <w:uiPriority w:val="99"/>
    <w:unhideWhenUsed/>
    <w:rsid w:val="00477B5E"/>
    <w:rPr>
      <w:color w:val="0563C1" w:themeColor="hyperlink"/>
      <w:u w:val="single"/>
    </w:rPr>
  </w:style>
  <w:style w:type="character" w:customStyle="1" w:styleId="UnresolvedMention1">
    <w:name w:val="Unresolved Mention1"/>
    <w:basedOn w:val="Policepardfaut"/>
    <w:uiPriority w:val="99"/>
    <w:semiHidden/>
    <w:unhideWhenUsed/>
    <w:rsid w:val="00477B5E"/>
    <w:rPr>
      <w:color w:val="605E5C"/>
      <w:shd w:val="clear" w:color="auto" w:fill="E1DFDD"/>
    </w:rPr>
  </w:style>
  <w:style w:type="character" w:styleId="Lienhypertextesuivivisit">
    <w:name w:val="FollowedHyperlink"/>
    <w:basedOn w:val="Policepardfaut"/>
    <w:uiPriority w:val="99"/>
    <w:semiHidden/>
    <w:unhideWhenUsed/>
    <w:rsid w:val="00D3354C"/>
    <w:rPr>
      <w:color w:val="954F72" w:themeColor="followedHyperlink"/>
      <w:u w:val="single"/>
    </w:rPr>
  </w:style>
  <w:style w:type="paragraph" w:styleId="En-tte">
    <w:name w:val="header"/>
    <w:basedOn w:val="Normal"/>
    <w:link w:val="En-tteCar"/>
    <w:uiPriority w:val="99"/>
    <w:unhideWhenUsed/>
    <w:rsid w:val="00213173"/>
    <w:pPr>
      <w:tabs>
        <w:tab w:val="center" w:pos="4536"/>
        <w:tab w:val="right" w:pos="9072"/>
      </w:tabs>
      <w:spacing w:after="0" w:line="240" w:lineRule="auto"/>
    </w:pPr>
  </w:style>
  <w:style w:type="character" w:customStyle="1" w:styleId="En-tteCar">
    <w:name w:val="En-tête Car"/>
    <w:basedOn w:val="Policepardfaut"/>
    <w:link w:val="En-tte"/>
    <w:uiPriority w:val="99"/>
    <w:rsid w:val="00213173"/>
    <w:rPr>
      <w:iCs/>
      <w:sz w:val="18"/>
      <w:szCs w:val="18"/>
      <w:lang w:val="en-GB"/>
    </w:rPr>
  </w:style>
  <w:style w:type="paragraph" w:styleId="Pieddepage">
    <w:name w:val="footer"/>
    <w:basedOn w:val="Normal"/>
    <w:link w:val="PieddepageCar"/>
    <w:uiPriority w:val="99"/>
    <w:unhideWhenUsed/>
    <w:rsid w:val="002131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13173"/>
    <w:rPr>
      <w:iCs/>
      <w:sz w:val="18"/>
      <w:szCs w:val="18"/>
      <w:lang w:val="en-GB"/>
    </w:rPr>
  </w:style>
  <w:style w:type="table" w:styleId="Grilledutableau">
    <w:name w:val="Table Grid"/>
    <w:basedOn w:val="TableauNormal"/>
    <w:uiPriority w:val="39"/>
    <w:rsid w:val="00213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4043BF"/>
    <w:pPr>
      <w:spacing w:after="0" w:line="240" w:lineRule="auto"/>
    </w:pPr>
    <w:rPr>
      <w:rFonts w:ascii="Segoe UI" w:hAnsi="Segoe UI" w:cs="Segoe UI"/>
    </w:rPr>
  </w:style>
  <w:style w:type="character" w:customStyle="1" w:styleId="TextedebullesCar">
    <w:name w:val="Texte de bulles Car"/>
    <w:basedOn w:val="Policepardfaut"/>
    <w:link w:val="Textedebulles"/>
    <w:uiPriority w:val="99"/>
    <w:semiHidden/>
    <w:rsid w:val="004043BF"/>
    <w:rPr>
      <w:rFonts w:ascii="Segoe UI" w:hAnsi="Segoe UI" w:cs="Segoe UI"/>
      <w:iCs/>
      <w:sz w:val="18"/>
      <w:szCs w:val="18"/>
      <w:lang w:val="en-GB"/>
    </w:rPr>
  </w:style>
  <w:style w:type="paragraph" w:customStyle="1" w:styleId="Default">
    <w:name w:val="Default"/>
    <w:rsid w:val="00AA3913"/>
    <w:pPr>
      <w:autoSpaceDE w:val="0"/>
      <w:autoSpaceDN w:val="0"/>
      <w:adjustRightInd w:val="0"/>
      <w:spacing w:after="0" w:line="240" w:lineRule="auto"/>
    </w:pPr>
    <w:rPr>
      <w:rFonts w:ascii="Arial" w:hAnsi="Arial" w:cs="Arial"/>
      <w:color w:val="000000"/>
      <w:sz w:val="24"/>
      <w:szCs w:val="24"/>
    </w:rPr>
  </w:style>
  <w:style w:type="character" w:customStyle="1" w:styleId="Titre2Car">
    <w:name w:val="Titre 2 Car"/>
    <w:basedOn w:val="Policepardfaut"/>
    <w:link w:val="Titre2"/>
    <w:uiPriority w:val="9"/>
    <w:rsid w:val="004A7E5E"/>
    <w:rPr>
      <w:rFonts w:ascii="Aptos" w:eastAsiaTheme="majorEastAsia" w:hAnsi="Aptos" w:cstheme="majorBidi"/>
      <w:b/>
      <w:bCs/>
      <w:iCs/>
      <w:color w:val="003399"/>
      <w:sz w:val="24"/>
      <w:szCs w:val="24"/>
      <w:lang w:val="en-GB"/>
    </w:rPr>
  </w:style>
  <w:style w:type="character" w:customStyle="1" w:styleId="Titre3Car">
    <w:name w:val="Titre 3 Car"/>
    <w:basedOn w:val="Policepardfaut"/>
    <w:link w:val="Titre3"/>
    <w:uiPriority w:val="9"/>
    <w:rsid w:val="004A7E5E"/>
    <w:rPr>
      <w:rFonts w:ascii="Aptos" w:eastAsia="Times New Roman" w:hAnsi="Aptos" w:cstheme="majorBidi"/>
      <w:b/>
      <w:bCs/>
      <w:iCs/>
      <w:color w:val="003399"/>
      <w:lang w:val="en-GB"/>
    </w:rPr>
  </w:style>
  <w:style w:type="character" w:customStyle="1" w:styleId="Titre4Car">
    <w:name w:val="Titre 4 Car"/>
    <w:basedOn w:val="Policepardfaut"/>
    <w:link w:val="Titre4"/>
    <w:uiPriority w:val="9"/>
    <w:rsid w:val="004620A2"/>
    <w:rPr>
      <w:rFonts w:ascii="Aptos" w:eastAsia="Times New Roman" w:hAnsi="Aptos" w:cstheme="majorBidi"/>
      <w:iCs/>
      <w:color w:val="003399"/>
      <w:lang w:val="en-GB"/>
    </w:rPr>
  </w:style>
  <w:style w:type="paragraph" w:styleId="En-ttedetabledesmatires">
    <w:name w:val="TOC Heading"/>
    <w:basedOn w:val="Titre1"/>
    <w:next w:val="Normal"/>
    <w:uiPriority w:val="39"/>
    <w:unhideWhenUsed/>
    <w:qFormat/>
    <w:rsid w:val="005F72C7"/>
    <w:pPr>
      <w:numPr>
        <w:numId w:val="0"/>
      </w:numPr>
      <w:spacing w:before="240"/>
      <w:outlineLvl w:val="9"/>
    </w:pPr>
    <w:rPr>
      <w:iCs w:val="0"/>
      <w:sz w:val="32"/>
      <w:szCs w:val="32"/>
      <w:lang w:val="fr-BE" w:eastAsia="fr-BE"/>
    </w:rPr>
  </w:style>
  <w:style w:type="paragraph" w:styleId="TM1">
    <w:name w:val="toc 1"/>
    <w:basedOn w:val="Normal"/>
    <w:next w:val="Normal"/>
    <w:autoRedefine/>
    <w:uiPriority w:val="39"/>
    <w:unhideWhenUsed/>
    <w:rsid w:val="005F72C7"/>
    <w:pPr>
      <w:spacing w:after="100"/>
    </w:pPr>
  </w:style>
  <w:style w:type="paragraph" w:styleId="TM2">
    <w:name w:val="toc 2"/>
    <w:basedOn w:val="Normal"/>
    <w:next w:val="Normal"/>
    <w:autoRedefine/>
    <w:uiPriority w:val="39"/>
    <w:unhideWhenUsed/>
    <w:rsid w:val="005F72C7"/>
    <w:pPr>
      <w:spacing w:after="100"/>
      <w:ind w:left="180"/>
    </w:pPr>
  </w:style>
  <w:style w:type="paragraph" w:styleId="TM3">
    <w:name w:val="toc 3"/>
    <w:basedOn w:val="Normal"/>
    <w:next w:val="Normal"/>
    <w:autoRedefine/>
    <w:uiPriority w:val="39"/>
    <w:unhideWhenUsed/>
    <w:rsid w:val="005F72C7"/>
    <w:pPr>
      <w:spacing w:after="100"/>
      <w:ind w:left="360"/>
    </w:pPr>
  </w:style>
  <w:style w:type="character" w:customStyle="1" w:styleId="Titre5Car">
    <w:name w:val="Titre 5 Car"/>
    <w:basedOn w:val="Policepardfaut"/>
    <w:link w:val="Titre5"/>
    <w:uiPriority w:val="9"/>
    <w:rsid w:val="00CB0753"/>
    <w:rPr>
      <w:rFonts w:asciiTheme="majorHAnsi" w:eastAsiaTheme="majorEastAsia" w:hAnsiTheme="majorHAnsi" w:cstheme="majorBidi"/>
      <w:iCs/>
      <w:color w:val="2F5496" w:themeColor="accent1" w:themeShade="BF"/>
      <w:sz w:val="18"/>
      <w:szCs w:val="18"/>
      <w:lang w:val="en-GB"/>
    </w:rPr>
  </w:style>
  <w:style w:type="paragraph" w:styleId="NormalWeb">
    <w:name w:val="Normal (Web)"/>
    <w:basedOn w:val="Normal"/>
    <w:uiPriority w:val="99"/>
    <w:unhideWhenUsed/>
    <w:rsid w:val="00E7303F"/>
    <w:pPr>
      <w:spacing w:before="100" w:beforeAutospacing="1" w:after="100" w:afterAutospacing="1" w:line="240" w:lineRule="auto"/>
    </w:pPr>
    <w:rPr>
      <w:rFonts w:ascii="Times New Roman" w:eastAsia="Times New Roman" w:hAnsi="Times New Roman" w:cs="Times New Roman"/>
      <w:iCs w:val="0"/>
      <w:sz w:val="24"/>
      <w:szCs w:val="24"/>
      <w:lang w:eastAsia="en-GB"/>
    </w:rPr>
  </w:style>
  <w:style w:type="paragraph" w:customStyle="1" w:styleId="ISOChange">
    <w:name w:val="ISO_Change"/>
    <w:basedOn w:val="Normal"/>
    <w:uiPriority w:val="99"/>
    <w:rsid w:val="00E7303F"/>
    <w:pPr>
      <w:spacing w:before="210" w:after="0" w:line="210" w:lineRule="exact"/>
    </w:pPr>
    <w:rPr>
      <w:rFonts w:ascii="Arial" w:eastAsia="Times New Roman" w:hAnsi="Arial" w:cs="Times New Roman"/>
      <w:iCs w:val="0"/>
      <w:szCs w:val="20"/>
    </w:rPr>
  </w:style>
  <w:style w:type="paragraph" w:customStyle="1" w:styleId="ISOSecretObservations">
    <w:name w:val="ISO_Secret_Observations"/>
    <w:basedOn w:val="Normal"/>
    <w:uiPriority w:val="99"/>
    <w:rsid w:val="00E7303F"/>
    <w:pPr>
      <w:spacing w:before="210" w:after="0" w:line="210" w:lineRule="exact"/>
    </w:pPr>
    <w:rPr>
      <w:rFonts w:ascii="Arial" w:eastAsia="Times New Roman" w:hAnsi="Arial" w:cs="Times New Roman"/>
      <w:iCs w:val="0"/>
      <w:szCs w:val="20"/>
    </w:rPr>
  </w:style>
  <w:style w:type="character" w:styleId="lev">
    <w:name w:val="Strong"/>
    <w:basedOn w:val="Policepardfaut"/>
    <w:uiPriority w:val="22"/>
    <w:qFormat/>
    <w:rsid w:val="002637D0"/>
    <w:rPr>
      <w:b/>
      <w:bCs/>
    </w:rPr>
  </w:style>
  <w:style w:type="paragraph" w:styleId="Rvision">
    <w:name w:val="Revision"/>
    <w:hidden/>
    <w:uiPriority w:val="99"/>
    <w:semiHidden/>
    <w:rsid w:val="00EF587B"/>
    <w:pPr>
      <w:spacing w:after="0" w:line="240" w:lineRule="auto"/>
    </w:pPr>
    <w:rPr>
      <w:iCs/>
      <w:sz w:val="18"/>
      <w:szCs w:val="18"/>
      <w:lang w:val="en-GB"/>
    </w:rPr>
  </w:style>
  <w:style w:type="paragraph" w:customStyle="1" w:styleId="ISOParagraph">
    <w:name w:val="ISO_Paragraph"/>
    <w:basedOn w:val="Normal"/>
    <w:rsid w:val="005013E3"/>
    <w:pPr>
      <w:spacing w:before="210" w:after="0" w:line="210" w:lineRule="exact"/>
    </w:pPr>
    <w:rPr>
      <w:rFonts w:ascii="Arial" w:eastAsia="Times New Roman" w:hAnsi="Arial" w:cs="Times New Roman"/>
      <w:iCs w:val="0"/>
      <w:szCs w:val="20"/>
    </w:rPr>
  </w:style>
  <w:style w:type="character" w:customStyle="1" w:styleId="CommentReference1">
    <w:name w:val="Comment Reference1"/>
    <w:uiPriority w:val="99"/>
    <w:semiHidden/>
    <w:unhideWhenUsed/>
    <w:rsid w:val="005013E3"/>
    <w:rPr>
      <w:sz w:val="16"/>
      <w:szCs w:val="16"/>
    </w:rPr>
  </w:style>
  <w:style w:type="paragraph" w:customStyle="1" w:styleId="CommentText1">
    <w:name w:val="Comment Text1"/>
    <w:basedOn w:val="Normal"/>
    <w:link w:val="CommentTextChar"/>
    <w:uiPriority w:val="99"/>
    <w:unhideWhenUsed/>
    <w:rsid w:val="005013E3"/>
    <w:pPr>
      <w:spacing w:after="200" w:line="240" w:lineRule="auto"/>
    </w:pPr>
    <w:rPr>
      <w:iCs w:val="0"/>
      <w:sz w:val="20"/>
      <w:szCs w:val="20"/>
      <w:lang w:val="en-US"/>
    </w:rPr>
  </w:style>
  <w:style w:type="paragraph" w:styleId="Corpsdetexte">
    <w:name w:val="Body Text"/>
    <w:basedOn w:val="Normal"/>
    <w:link w:val="CorpsdetexteCar"/>
    <w:uiPriority w:val="99"/>
    <w:unhideWhenUsed/>
    <w:rsid w:val="002D0DC0"/>
    <w:pPr>
      <w:spacing w:after="120" w:line="240" w:lineRule="atLeast"/>
      <w:jc w:val="both"/>
    </w:pPr>
    <w:rPr>
      <w:rFonts w:ascii="Cambria" w:eastAsia="Calibri" w:hAnsi="Cambria" w:cs="Times New Roman"/>
      <w:iCs w:val="0"/>
      <w:szCs w:val="22"/>
    </w:rPr>
  </w:style>
  <w:style w:type="character" w:customStyle="1" w:styleId="CorpsdetexteCar">
    <w:name w:val="Corps de texte Car"/>
    <w:basedOn w:val="Policepardfaut"/>
    <w:link w:val="Corpsdetexte"/>
    <w:uiPriority w:val="99"/>
    <w:rsid w:val="002D0DC0"/>
    <w:rPr>
      <w:rFonts w:ascii="Cambria" w:eastAsia="Calibri" w:hAnsi="Cambria" w:cs="Times New Roman"/>
      <w:lang w:val="en-GB"/>
    </w:rPr>
  </w:style>
  <w:style w:type="character" w:styleId="Accentuationintense">
    <w:name w:val="Intense Emphasis"/>
    <w:basedOn w:val="Policepardfaut"/>
    <w:uiPriority w:val="21"/>
    <w:qFormat/>
    <w:rsid w:val="00145516"/>
    <w:rPr>
      <w:i/>
      <w:iCs/>
      <w:color w:val="4472C4" w:themeColor="accent1"/>
    </w:rPr>
  </w:style>
  <w:style w:type="paragraph" w:styleId="Sansinterligne">
    <w:name w:val="No Spacing"/>
    <w:uiPriority w:val="1"/>
    <w:qFormat/>
    <w:rsid w:val="00CB668C"/>
    <w:pPr>
      <w:spacing w:after="0" w:line="240" w:lineRule="auto"/>
    </w:pPr>
    <w:rPr>
      <w:rFonts w:ascii="Aptos" w:hAnsi="Aptos"/>
      <w:iCs/>
      <w:szCs w:val="18"/>
      <w:lang w:val="en-GB"/>
    </w:rPr>
  </w:style>
  <w:style w:type="character" w:customStyle="1" w:styleId="Titre6Car">
    <w:name w:val="Titre 6 Car"/>
    <w:basedOn w:val="Policepardfaut"/>
    <w:link w:val="Titre6"/>
    <w:uiPriority w:val="9"/>
    <w:semiHidden/>
    <w:rsid w:val="00A4734C"/>
    <w:rPr>
      <w:rFonts w:asciiTheme="majorHAnsi" w:eastAsiaTheme="majorEastAsia" w:hAnsiTheme="majorHAnsi" w:cstheme="majorBidi"/>
      <w:iCs/>
      <w:color w:val="1F3763" w:themeColor="accent1" w:themeShade="7F"/>
      <w:szCs w:val="18"/>
      <w:lang w:val="en-GB"/>
    </w:rPr>
  </w:style>
  <w:style w:type="character" w:customStyle="1" w:styleId="Titre7Car">
    <w:name w:val="Titre 7 Car"/>
    <w:basedOn w:val="Policepardfaut"/>
    <w:link w:val="Titre7"/>
    <w:uiPriority w:val="9"/>
    <w:semiHidden/>
    <w:rsid w:val="00F26E61"/>
    <w:rPr>
      <w:rFonts w:eastAsiaTheme="majorEastAsia" w:cstheme="majorBidi"/>
      <w:iCs/>
      <w:color w:val="595959" w:themeColor="text1" w:themeTint="A6"/>
      <w:sz w:val="18"/>
      <w:szCs w:val="18"/>
      <w:lang w:val="en-GB"/>
    </w:rPr>
  </w:style>
  <w:style w:type="character" w:customStyle="1" w:styleId="Titre8Car">
    <w:name w:val="Titre 8 Car"/>
    <w:basedOn w:val="Policepardfaut"/>
    <w:link w:val="Titre8"/>
    <w:uiPriority w:val="9"/>
    <w:semiHidden/>
    <w:rsid w:val="00F26E61"/>
    <w:rPr>
      <w:rFonts w:eastAsiaTheme="majorEastAsia" w:cstheme="majorBidi"/>
      <w:i/>
      <w:color w:val="272727" w:themeColor="text1" w:themeTint="D8"/>
      <w:sz w:val="18"/>
      <w:szCs w:val="18"/>
      <w:lang w:val="en-GB"/>
    </w:rPr>
  </w:style>
  <w:style w:type="character" w:customStyle="1" w:styleId="Titre9Car">
    <w:name w:val="Titre 9 Car"/>
    <w:basedOn w:val="Policepardfaut"/>
    <w:link w:val="Titre9"/>
    <w:uiPriority w:val="9"/>
    <w:semiHidden/>
    <w:rsid w:val="00F26E61"/>
    <w:rPr>
      <w:rFonts w:eastAsiaTheme="majorEastAsia" w:cstheme="majorBidi"/>
      <w:iCs/>
      <w:color w:val="272727" w:themeColor="text1" w:themeTint="D8"/>
      <w:sz w:val="18"/>
      <w:szCs w:val="18"/>
      <w:lang w:val="en-GB"/>
    </w:rPr>
  </w:style>
  <w:style w:type="character" w:customStyle="1" w:styleId="CommentTextChar">
    <w:name w:val="Comment Text Char"/>
    <w:basedOn w:val="Policepardfaut"/>
    <w:link w:val="CommentText1"/>
    <w:uiPriority w:val="99"/>
    <w:rsid w:val="00F26E61"/>
    <w:rPr>
      <w:rFonts w:ascii="Aptos" w:hAnsi="Aptos"/>
      <w:sz w:val="20"/>
      <w:szCs w:val="20"/>
      <w:lang w:val="en-US"/>
    </w:rPr>
  </w:style>
  <w:style w:type="paragraph" w:customStyle="1" w:styleId="CommentSubject1">
    <w:name w:val="Comment Subject1"/>
    <w:basedOn w:val="CommentText1"/>
    <w:next w:val="CommentText1"/>
    <w:link w:val="CommentSubjectChar"/>
    <w:uiPriority w:val="99"/>
    <w:semiHidden/>
    <w:unhideWhenUsed/>
    <w:rsid w:val="00F26E61"/>
    <w:pPr>
      <w:spacing w:after="0"/>
    </w:pPr>
    <w:rPr>
      <w:b/>
      <w:bCs/>
      <w:iCs/>
      <w:lang w:val="en-GB"/>
    </w:rPr>
  </w:style>
  <w:style w:type="character" w:customStyle="1" w:styleId="CommentSubjectChar">
    <w:name w:val="Comment Subject Char"/>
    <w:basedOn w:val="CommentTextChar"/>
    <w:link w:val="CommentSubject1"/>
    <w:uiPriority w:val="99"/>
    <w:semiHidden/>
    <w:rsid w:val="00F26E61"/>
    <w:rPr>
      <w:rFonts w:ascii="Aptos" w:hAnsi="Aptos"/>
      <w:b/>
      <w:bCs/>
      <w:iCs/>
      <w:sz w:val="20"/>
      <w:szCs w:val="20"/>
      <w:lang w:val="en-GB"/>
    </w:rPr>
  </w:style>
  <w:style w:type="paragraph" w:styleId="Sous-titre">
    <w:name w:val="Subtitle"/>
    <w:basedOn w:val="Normal"/>
    <w:next w:val="Normal"/>
    <w:link w:val="Sous-titreCar"/>
    <w:uiPriority w:val="11"/>
    <w:qFormat/>
    <w:rsid w:val="00F26E61"/>
    <w:pPr>
      <w:numPr>
        <w:ilvl w:val="1"/>
      </w:numPr>
      <w:spacing w:after="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26E61"/>
    <w:rPr>
      <w:rFonts w:eastAsiaTheme="majorEastAsia" w:cstheme="majorBidi"/>
      <w:iCs/>
      <w:color w:val="595959" w:themeColor="text1" w:themeTint="A6"/>
      <w:spacing w:val="15"/>
      <w:sz w:val="28"/>
      <w:szCs w:val="28"/>
      <w:lang w:val="en-GB"/>
    </w:rPr>
  </w:style>
  <w:style w:type="paragraph" w:styleId="Citation">
    <w:name w:val="Quote"/>
    <w:basedOn w:val="Normal"/>
    <w:next w:val="Normal"/>
    <w:link w:val="CitationCar"/>
    <w:uiPriority w:val="29"/>
    <w:qFormat/>
    <w:rsid w:val="00F26E61"/>
    <w:pPr>
      <w:spacing w:before="160" w:after="0"/>
      <w:jc w:val="center"/>
    </w:pPr>
    <w:rPr>
      <w:rFonts w:asciiTheme="minorHAnsi" w:hAnsiTheme="minorHAnsi"/>
      <w:i/>
      <w:iCs w:val="0"/>
      <w:color w:val="404040" w:themeColor="text1" w:themeTint="BF"/>
      <w:sz w:val="18"/>
    </w:rPr>
  </w:style>
  <w:style w:type="character" w:customStyle="1" w:styleId="CitationCar">
    <w:name w:val="Citation Car"/>
    <w:basedOn w:val="Policepardfaut"/>
    <w:link w:val="Citation"/>
    <w:uiPriority w:val="29"/>
    <w:rsid w:val="00F26E61"/>
    <w:rPr>
      <w:i/>
      <w:color w:val="404040" w:themeColor="text1" w:themeTint="BF"/>
      <w:sz w:val="18"/>
      <w:szCs w:val="18"/>
      <w:lang w:val="en-GB"/>
    </w:rPr>
  </w:style>
  <w:style w:type="paragraph" w:styleId="Citationintense">
    <w:name w:val="Intense Quote"/>
    <w:basedOn w:val="Normal"/>
    <w:next w:val="Normal"/>
    <w:link w:val="CitationintenseCar"/>
    <w:uiPriority w:val="30"/>
    <w:qFormat/>
    <w:rsid w:val="00F26E61"/>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hAnsiTheme="minorHAnsi"/>
      <w:i/>
      <w:iCs w:val="0"/>
      <w:color w:val="2F5496" w:themeColor="accent1" w:themeShade="BF"/>
      <w:sz w:val="18"/>
    </w:rPr>
  </w:style>
  <w:style w:type="character" w:customStyle="1" w:styleId="CitationintenseCar">
    <w:name w:val="Citation intense Car"/>
    <w:basedOn w:val="Policepardfaut"/>
    <w:link w:val="Citationintense"/>
    <w:uiPriority w:val="30"/>
    <w:rsid w:val="00F26E61"/>
    <w:rPr>
      <w:i/>
      <w:color w:val="2F5496" w:themeColor="accent1" w:themeShade="BF"/>
      <w:sz w:val="18"/>
      <w:szCs w:val="18"/>
      <w:lang w:val="en-GB"/>
    </w:rPr>
  </w:style>
  <w:style w:type="character" w:styleId="Rfrenceintense">
    <w:name w:val="Intense Reference"/>
    <w:basedOn w:val="Policepardfaut"/>
    <w:uiPriority w:val="32"/>
    <w:qFormat/>
    <w:rsid w:val="00F26E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054658">
      <w:bodyDiv w:val="1"/>
      <w:marLeft w:val="0"/>
      <w:marRight w:val="0"/>
      <w:marTop w:val="0"/>
      <w:marBottom w:val="0"/>
      <w:divBdr>
        <w:top w:val="none" w:sz="0" w:space="0" w:color="auto"/>
        <w:left w:val="none" w:sz="0" w:space="0" w:color="auto"/>
        <w:bottom w:val="none" w:sz="0" w:space="0" w:color="auto"/>
        <w:right w:val="none" w:sz="0" w:space="0" w:color="auto"/>
      </w:divBdr>
    </w:div>
    <w:div w:id="884215736">
      <w:bodyDiv w:val="1"/>
      <w:marLeft w:val="0"/>
      <w:marRight w:val="0"/>
      <w:marTop w:val="0"/>
      <w:marBottom w:val="0"/>
      <w:divBdr>
        <w:top w:val="none" w:sz="0" w:space="0" w:color="auto"/>
        <w:left w:val="none" w:sz="0" w:space="0" w:color="auto"/>
        <w:bottom w:val="none" w:sz="0" w:space="0" w:color="auto"/>
        <w:right w:val="none" w:sz="0" w:space="0" w:color="auto"/>
      </w:divBdr>
    </w:div>
    <w:div w:id="908425361">
      <w:bodyDiv w:val="1"/>
      <w:marLeft w:val="0"/>
      <w:marRight w:val="0"/>
      <w:marTop w:val="0"/>
      <w:marBottom w:val="0"/>
      <w:divBdr>
        <w:top w:val="none" w:sz="0" w:space="0" w:color="auto"/>
        <w:left w:val="none" w:sz="0" w:space="0" w:color="auto"/>
        <w:bottom w:val="none" w:sz="0" w:space="0" w:color="auto"/>
        <w:right w:val="none" w:sz="0" w:space="0" w:color="auto"/>
      </w:divBdr>
    </w:div>
    <w:div w:id="1015814253">
      <w:bodyDiv w:val="1"/>
      <w:marLeft w:val="0"/>
      <w:marRight w:val="0"/>
      <w:marTop w:val="0"/>
      <w:marBottom w:val="0"/>
      <w:divBdr>
        <w:top w:val="none" w:sz="0" w:space="0" w:color="auto"/>
        <w:left w:val="none" w:sz="0" w:space="0" w:color="auto"/>
        <w:bottom w:val="none" w:sz="0" w:space="0" w:color="auto"/>
        <w:right w:val="none" w:sz="0" w:space="0" w:color="auto"/>
      </w:divBdr>
    </w:div>
    <w:div w:id="1654528619">
      <w:bodyDiv w:val="1"/>
      <w:marLeft w:val="0"/>
      <w:marRight w:val="0"/>
      <w:marTop w:val="0"/>
      <w:marBottom w:val="0"/>
      <w:divBdr>
        <w:top w:val="none" w:sz="0" w:space="0" w:color="auto"/>
        <w:left w:val="none" w:sz="0" w:space="0" w:color="auto"/>
        <w:bottom w:val="none" w:sz="0" w:space="0" w:color="auto"/>
        <w:right w:val="none" w:sz="0" w:space="0" w:color="auto"/>
      </w:divBdr>
      <w:divsChild>
        <w:div w:id="3636776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medtecheurope.org/wp-content/uploads/2025/01/mte-ivdr-mdr-survey-report-highlights-march.2025.pdf" TargetMode="Externa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medtecheurope.org/wp-content/uploads/2025/01/mte-ivdr-mdr-survey-report-highlights-march.2025.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eam-nb.org/wp-content/uploads/2024/10/PressRelease-Team-NB-20241024.pdf"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BBB4A2C08DCF4A9BDCC69C0F9DBDE8" ma:contentTypeVersion="15" ma:contentTypeDescription="Een nieuw document maken." ma:contentTypeScope="" ma:versionID="f1fe51671a63e571da0ba15397f135bf">
  <xsd:schema xmlns:xsd="http://www.w3.org/2001/XMLSchema" xmlns:xs="http://www.w3.org/2001/XMLSchema" xmlns:p="http://schemas.microsoft.com/office/2006/metadata/properties" xmlns:ns2="ee6e5335-fea2-4460-99d3-0cc285006dc3" xmlns:ns3="1310b9fd-eb51-47a2-9b6b-944b6f939095" targetNamespace="http://schemas.microsoft.com/office/2006/metadata/properties" ma:root="true" ma:fieldsID="97e9e4c47e5dd843a645bef55a3caec4" ns2:_="" ns3:_="">
    <xsd:import namespace="ee6e5335-fea2-4460-99d3-0cc285006dc3"/>
    <xsd:import namespace="1310b9fd-eb51-47a2-9b6b-944b6f93909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6e5335-fea2-4460-99d3-0cc285006dc3"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47dd910d-54ba-455e-8c56-10965ad1b11f}" ma:internalName="TaxCatchAll" ma:showField="CatchAllData" ma:web="ee6e5335-fea2-4460-99d3-0cc285006d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10b9fd-eb51-47a2-9b6b-944b6f93909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ac3c8c9f-f0c4-4caa-baf3-6e36a290556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310b9fd-eb51-47a2-9b6b-944b6f939095">
      <Terms xmlns="http://schemas.microsoft.com/office/infopath/2007/PartnerControls"/>
    </lcf76f155ced4ddcb4097134ff3c332f>
    <TaxCatchAll xmlns="ee6e5335-fea2-4460-99d3-0cc285006dc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306CB-FA84-4B2D-BA6C-17184B854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6e5335-fea2-4460-99d3-0cc285006dc3"/>
    <ds:schemaRef ds:uri="1310b9fd-eb51-47a2-9b6b-944b6f9390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E576F9-A8C1-4ED2-8EE8-52C3744A59CB}">
  <ds:schemaRefs>
    <ds:schemaRef ds:uri="http://schemas.microsoft.com/sharepoint/v3/contenttype/forms"/>
  </ds:schemaRefs>
</ds:datastoreItem>
</file>

<file path=customXml/itemProps3.xml><?xml version="1.0" encoding="utf-8"?>
<ds:datastoreItem xmlns:ds="http://schemas.openxmlformats.org/officeDocument/2006/customXml" ds:itemID="{4C582D1C-9A00-43A4-8FDE-580365C675DF}">
  <ds:schemaRefs>
    <ds:schemaRef ds:uri="http://schemas.microsoft.com/office/2006/metadata/properties"/>
    <ds:schemaRef ds:uri="http://schemas.microsoft.com/office/infopath/2007/PartnerControls"/>
    <ds:schemaRef ds:uri="1310b9fd-eb51-47a2-9b6b-944b6f939095"/>
    <ds:schemaRef ds:uri="ee6e5335-fea2-4460-99d3-0cc285006dc3"/>
  </ds:schemaRefs>
</ds:datastoreItem>
</file>

<file path=customXml/itemProps4.xml><?xml version="1.0" encoding="utf-8"?>
<ds:datastoreItem xmlns:ds="http://schemas.openxmlformats.org/officeDocument/2006/customXml" ds:itemID="{0AFCC58F-3386-4589-BC8C-B52025475EF9}">
  <ds:schemaRefs>
    <ds:schemaRef ds:uri="http://schemas.openxmlformats.org/officeDocument/2006/bibliography"/>
  </ds:schemaRefs>
</ds:datastoreItem>
</file>

<file path=docMetadata/LabelInfo.xml><?xml version="1.0" encoding="utf-8"?>
<clbl:labelList xmlns:clbl="http://schemas.microsoft.com/office/2020/mipLabelMetadata">
  <clbl:label id="{948094c8-480e-400b-91c4-c984b7e20814}" enabled="1" method="Standard" siteId="{a1109567-0815-4e1f-88af-e23555482aaa}" removed="0"/>
</clbl:labelList>
</file>

<file path=docProps/app.xml><?xml version="1.0" encoding="utf-8"?>
<Properties xmlns="http://schemas.openxmlformats.org/officeDocument/2006/extended-properties" xmlns:vt="http://schemas.openxmlformats.org/officeDocument/2006/docPropsVTypes">
  <Template>Normal</Template>
  <TotalTime>4</TotalTime>
  <Pages>99</Pages>
  <Words>32442</Words>
  <Characters>178436</Characters>
  <Application>Microsoft Office Word</Application>
  <DocSecurity>0</DocSecurity>
  <Lines>1486</Lines>
  <Paragraphs>420</Paragraphs>
  <ScaleCrop>false</ScaleCrop>
  <Company/>
  <LinksUpToDate>false</LinksUpToDate>
  <CharactersWithSpaces>210458</CharactersWithSpaces>
  <SharedDoc>false</SharedDoc>
  <HLinks>
    <vt:vector size="216" baseType="variant">
      <vt:variant>
        <vt:i4>6225932</vt:i4>
      </vt:variant>
      <vt:variant>
        <vt:i4>207</vt:i4>
      </vt:variant>
      <vt:variant>
        <vt:i4>0</vt:i4>
      </vt:variant>
      <vt:variant>
        <vt:i4>5</vt:i4>
      </vt:variant>
      <vt:variant>
        <vt:lpwstr>https://www.medtecheurope.org/wp-content/uploads/2025/01/mte-ivdr-mdr-survey-report-highlights-march.2025.pdf</vt:lpwstr>
      </vt:variant>
      <vt:variant>
        <vt:lpwstr/>
      </vt:variant>
      <vt:variant>
        <vt:i4>6225932</vt:i4>
      </vt:variant>
      <vt:variant>
        <vt:i4>204</vt:i4>
      </vt:variant>
      <vt:variant>
        <vt:i4>0</vt:i4>
      </vt:variant>
      <vt:variant>
        <vt:i4>5</vt:i4>
      </vt:variant>
      <vt:variant>
        <vt:lpwstr>https://www.medtecheurope.org/wp-content/uploads/2025/01/mte-ivdr-mdr-survey-report-highlights-march.2025.pdf</vt:lpwstr>
      </vt:variant>
      <vt:variant>
        <vt:lpwstr/>
      </vt:variant>
      <vt:variant>
        <vt:i4>4194388</vt:i4>
      </vt:variant>
      <vt:variant>
        <vt:i4>201</vt:i4>
      </vt:variant>
      <vt:variant>
        <vt:i4>0</vt:i4>
      </vt:variant>
      <vt:variant>
        <vt:i4>5</vt:i4>
      </vt:variant>
      <vt:variant>
        <vt:lpwstr>https://www.team-nb.org/wp-content/uploads/2024/10/PressRelease-Team-NB-20241024.pdf</vt:lpwstr>
      </vt:variant>
      <vt:variant>
        <vt:lpwstr/>
      </vt:variant>
      <vt:variant>
        <vt:i4>1835060</vt:i4>
      </vt:variant>
      <vt:variant>
        <vt:i4>194</vt:i4>
      </vt:variant>
      <vt:variant>
        <vt:i4>0</vt:i4>
      </vt:variant>
      <vt:variant>
        <vt:i4>5</vt:i4>
      </vt:variant>
      <vt:variant>
        <vt:lpwstr/>
      </vt:variant>
      <vt:variant>
        <vt:lpwstr>_Toc225976466</vt:lpwstr>
      </vt:variant>
      <vt:variant>
        <vt:i4>1835060</vt:i4>
      </vt:variant>
      <vt:variant>
        <vt:i4>188</vt:i4>
      </vt:variant>
      <vt:variant>
        <vt:i4>0</vt:i4>
      </vt:variant>
      <vt:variant>
        <vt:i4>5</vt:i4>
      </vt:variant>
      <vt:variant>
        <vt:lpwstr/>
      </vt:variant>
      <vt:variant>
        <vt:lpwstr>_Toc225976465</vt:lpwstr>
      </vt:variant>
      <vt:variant>
        <vt:i4>1835060</vt:i4>
      </vt:variant>
      <vt:variant>
        <vt:i4>182</vt:i4>
      </vt:variant>
      <vt:variant>
        <vt:i4>0</vt:i4>
      </vt:variant>
      <vt:variant>
        <vt:i4>5</vt:i4>
      </vt:variant>
      <vt:variant>
        <vt:lpwstr/>
      </vt:variant>
      <vt:variant>
        <vt:lpwstr>_Toc225976464</vt:lpwstr>
      </vt:variant>
      <vt:variant>
        <vt:i4>1835060</vt:i4>
      </vt:variant>
      <vt:variant>
        <vt:i4>176</vt:i4>
      </vt:variant>
      <vt:variant>
        <vt:i4>0</vt:i4>
      </vt:variant>
      <vt:variant>
        <vt:i4>5</vt:i4>
      </vt:variant>
      <vt:variant>
        <vt:lpwstr/>
      </vt:variant>
      <vt:variant>
        <vt:lpwstr>_Toc225976463</vt:lpwstr>
      </vt:variant>
      <vt:variant>
        <vt:i4>1835060</vt:i4>
      </vt:variant>
      <vt:variant>
        <vt:i4>170</vt:i4>
      </vt:variant>
      <vt:variant>
        <vt:i4>0</vt:i4>
      </vt:variant>
      <vt:variant>
        <vt:i4>5</vt:i4>
      </vt:variant>
      <vt:variant>
        <vt:lpwstr/>
      </vt:variant>
      <vt:variant>
        <vt:lpwstr>_Toc225976462</vt:lpwstr>
      </vt:variant>
      <vt:variant>
        <vt:i4>1835060</vt:i4>
      </vt:variant>
      <vt:variant>
        <vt:i4>164</vt:i4>
      </vt:variant>
      <vt:variant>
        <vt:i4>0</vt:i4>
      </vt:variant>
      <vt:variant>
        <vt:i4>5</vt:i4>
      </vt:variant>
      <vt:variant>
        <vt:lpwstr/>
      </vt:variant>
      <vt:variant>
        <vt:lpwstr>_Toc225976461</vt:lpwstr>
      </vt:variant>
      <vt:variant>
        <vt:i4>1835060</vt:i4>
      </vt:variant>
      <vt:variant>
        <vt:i4>158</vt:i4>
      </vt:variant>
      <vt:variant>
        <vt:i4>0</vt:i4>
      </vt:variant>
      <vt:variant>
        <vt:i4>5</vt:i4>
      </vt:variant>
      <vt:variant>
        <vt:lpwstr/>
      </vt:variant>
      <vt:variant>
        <vt:lpwstr>_Toc225976460</vt:lpwstr>
      </vt:variant>
      <vt:variant>
        <vt:i4>2031668</vt:i4>
      </vt:variant>
      <vt:variant>
        <vt:i4>152</vt:i4>
      </vt:variant>
      <vt:variant>
        <vt:i4>0</vt:i4>
      </vt:variant>
      <vt:variant>
        <vt:i4>5</vt:i4>
      </vt:variant>
      <vt:variant>
        <vt:lpwstr/>
      </vt:variant>
      <vt:variant>
        <vt:lpwstr>_Toc225976459</vt:lpwstr>
      </vt:variant>
      <vt:variant>
        <vt:i4>2031668</vt:i4>
      </vt:variant>
      <vt:variant>
        <vt:i4>146</vt:i4>
      </vt:variant>
      <vt:variant>
        <vt:i4>0</vt:i4>
      </vt:variant>
      <vt:variant>
        <vt:i4>5</vt:i4>
      </vt:variant>
      <vt:variant>
        <vt:lpwstr/>
      </vt:variant>
      <vt:variant>
        <vt:lpwstr>_Toc225976458</vt:lpwstr>
      </vt:variant>
      <vt:variant>
        <vt:i4>2031668</vt:i4>
      </vt:variant>
      <vt:variant>
        <vt:i4>140</vt:i4>
      </vt:variant>
      <vt:variant>
        <vt:i4>0</vt:i4>
      </vt:variant>
      <vt:variant>
        <vt:i4>5</vt:i4>
      </vt:variant>
      <vt:variant>
        <vt:lpwstr/>
      </vt:variant>
      <vt:variant>
        <vt:lpwstr>_Toc225976457</vt:lpwstr>
      </vt:variant>
      <vt:variant>
        <vt:i4>2031668</vt:i4>
      </vt:variant>
      <vt:variant>
        <vt:i4>134</vt:i4>
      </vt:variant>
      <vt:variant>
        <vt:i4>0</vt:i4>
      </vt:variant>
      <vt:variant>
        <vt:i4>5</vt:i4>
      </vt:variant>
      <vt:variant>
        <vt:lpwstr/>
      </vt:variant>
      <vt:variant>
        <vt:lpwstr>_Toc225976456</vt:lpwstr>
      </vt:variant>
      <vt:variant>
        <vt:i4>2031668</vt:i4>
      </vt:variant>
      <vt:variant>
        <vt:i4>128</vt:i4>
      </vt:variant>
      <vt:variant>
        <vt:i4>0</vt:i4>
      </vt:variant>
      <vt:variant>
        <vt:i4>5</vt:i4>
      </vt:variant>
      <vt:variant>
        <vt:lpwstr/>
      </vt:variant>
      <vt:variant>
        <vt:lpwstr>_Toc225976455</vt:lpwstr>
      </vt:variant>
      <vt:variant>
        <vt:i4>2031668</vt:i4>
      </vt:variant>
      <vt:variant>
        <vt:i4>122</vt:i4>
      </vt:variant>
      <vt:variant>
        <vt:i4>0</vt:i4>
      </vt:variant>
      <vt:variant>
        <vt:i4>5</vt:i4>
      </vt:variant>
      <vt:variant>
        <vt:lpwstr/>
      </vt:variant>
      <vt:variant>
        <vt:lpwstr>_Toc225976454</vt:lpwstr>
      </vt:variant>
      <vt:variant>
        <vt:i4>2031668</vt:i4>
      </vt:variant>
      <vt:variant>
        <vt:i4>116</vt:i4>
      </vt:variant>
      <vt:variant>
        <vt:i4>0</vt:i4>
      </vt:variant>
      <vt:variant>
        <vt:i4>5</vt:i4>
      </vt:variant>
      <vt:variant>
        <vt:lpwstr/>
      </vt:variant>
      <vt:variant>
        <vt:lpwstr>_Toc225976453</vt:lpwstr>
      </vt:variant>
      <vt:variant>
        <vt:i4>2031668</vt:i4>
      </vt:variant>
      <vt:variant>
        <vt:i4>110</vt:i4>
      </vt:variant>
      <vt:variant>
        <vt:i4>0</vt:i4>
      </vt:variant>
      <vt:variant>
        <vt:i4>5</vt:i4>
      </vt:variant>
      <vt:variant>
        <vt:lpwstr/>
      </vt:variant>
      <vt:variant>
        <vt:lpwstr>_Toc225976452</vt:lpwstr>
      </vt:variant>
      <vt:variant>
        <vt:i4>2031668</vt:i4>
      </vt:variant>
      <vt:variant>
        <vt:i4>104</vt:i4>
      </vt:variant>
      <vt:variant>
        <vt:i4>0</vt:i4>
      </vt:variant>
      <vt:variant>
        <vt:i4>5</vt:i4>
      </vt:variant>
      <vt:variant>
        <vt:lpwstr/>
      </vt:variant>
      <vt:variant>
        <vt:lpwstr>_Toc225976451</vt:lpwstr>
      </vt:variant>
      <vt:variant>
        <vt:i4>2031668</vt:i4>
      </vt:variant>
      <vt:variant>
        <vt:i4>98</vt:i4>
      </vt:variant>
      <vt:variant>
        <vt:i4>0</vt:i4>
      </vt:variant>
      <vt:variant>
        <vt:i4>5</vt:i4>
      </vt:variant>
      <vt:variant>
        <vt:lpwstr/>
      </vt:variant>
      <vt:variant>
        <vt:lpwstr>_Toc225976450</vt:lpwstr>
      </vt:variant>
      <vt:variant>
        <vt:i4>1966132</vt:i4>
      </vt:variant>
      <vt:variant>
        <vt:i4>92</vt:i4>
      </vt:variant>
      <vt:variant>
        <vt:i4>0</vt:i4>
      </vt:variant>
      <vt:variant>
        <vt:i4>5</vt:i4>
      </vt:variant>
      <vt:variant>
        <vt:lpwstr/>
      </vt:variant>
      <vt:variant>
        <vt:lpwstr>_Toc225976449</vt:lpwstr>
      </vt:variant>
      <vt:variant>
        <vt:i4>1966132</vt:i4>
      </vt:variant>
      <vt:variant>
        <vt:i4>86</vt:i4>
      </vt:variant>
      <vt:variant>
        <vt:i4>0</vt:i4>
      </vt:variant>
      <vt:variant>
        <vt:i4>5</vt:i4>
      </vt:variant>
      <vt:variant>
        <vt:lpwstr/>
      </vt:variant>
      <vt:variant>
        <vt:lpwstr>_Toc225976448</vt:lpwstr>
      </vt:variant>
      <vt:variant>
        <vt:i4>1966132</vt:i4>
      </vt:variant>
      <vt:variant>
        <vt:i4>80</vt:i4>
      </vt:variant>
      <vt:variant>
        <vt:i4>0</vt:i4>
      </vt:variant>
      <vt:variant>
        <vt:i4>5</vt:i4>
      </vt:variant>
      <vt:variant>
        <vt:lpwstr/>
      </vt:variant>
      <vt:variant>
        <vt:lpwstr>_Toc225976447</vt:lpwstr>
      </vt:variant>
      <vt:variant>
        <vt:i4>1966132</vt:i4>
      </vt:variant>
      <vt:variant>
        <vt:i4>74</vt:i4>
      </vt:variant>
      <vt:variant>
        <vt:i4>0</vt:i4>
      </vt:variant>
      <vt:variant>
        <vt:i4>5</vt:i4>
      </vt:variant>
      <vt:variant>
        <vt:lpwstr/>
      </vt:variant>
      <vt:variant>
        <vt:lpwstr>_Toc225976446</vt:lpwstr>
      </vt:variant>
      <vt:variant>
        <vt:i4>1966132</vt:i4>
      </vt:variant>
      <vt:variant>
        <vt:i4>68</vt:i4>
      </vt:variant>
      <vt:variant>
        <vt:i4>0</vt:i4>
      </vt:variant>
      <vt:variant>
        <vt:i4>5</vt:i4>
      </vt:variant>
      <vt:variant>
        <vt:lpwstr/>
      </vt:variant>
      <vt:variant>
        <vt:lpwstr>_Toc225976445</vt:lpwstr>
      </vt:variant>
      <vt:variant>
        <vt:i4>1966132</vt:i4>
      </vt:variant>
      <vt:variant>
        <vt:i4>62</vt:i4>
      </vt:variant>
      <vt:variant>
        <vt:i4>0</vt:i4>
      </vt:variant>
      <vt:variant>
        <vt:i4>5</vt:i4>
      </vt:variant>
      <vt:variant>
        <vt:lpwstr/>
      </vt:variant>
      <vt:variant>
        <vt:lpwstr>_Toc225976444</vt:lpwstr>
      </vt:variant>
      <vt:variant>
        <vt:i4>1966132</vt:i4>
      </vt:variant>
      <vt:variant>
        <vt:i4>56</vt:i4>
      </vt:variant>
      <vt:variant>
        <vt:i4>0</vt:i4>
      </vt:variant>
      <vt:variant>
        <vt:i4>5</vt:i4>
      </vt:variant>
      <vt:variant>
        <vt:lpwstr/>
      </vt:variant>
      <vt:variant>
        <vt:lpwstr>_Toc225976443</vt:lpwstr>
      </vt:variant>
      <vt:variant>
        <vt:i4>1966132</vt:i4>
      </vt:variant>
      <vt:variant>
        <vt:i4>50</vt:i4>
      </vt:variant>
      <vt:variant>
        <vt:i4>0</vt:i4>
      </vt:variant>
      <vt:variant>
        <vt:i4>5</vt:i4>
      </vt:variant>
      <vt:variant>
        <vt:lpwstr/>
      </vt:variant>
      <vt:variant>
        <vt:lpwstr>_Toc225976442</vt:lpwstr>
      </vt:variant>
      <vt:variant>
        <vt:i4>1966132</vt:i4>
      </vt:variant>
      <vt:variant>
        <vt:i4>44</vt:i4>
      </vt:variant>
      <vt:variant>
        <vt:i4>0</vt:i4>
      </vt:variant>
      <vt:variant>
        <vt:i4>5</vt:i4>
      </vt:variant>
      <vt:variant>
        <vt:lpwstr/>
      </vt:variant>
      <vt:variant>
        <vt:lpwstr>_Toc225976441</vt:lpwstr>
      </vt:variant>
      <vt:variant>
        <vt:i4>1966132</vt:i4>
      </vt:variant>
      <vt:variant>
        <vt:i4>38</vt:i4>
      </vt:variant>
      <vt:variant>
        <vt:i4>0</vt:i4>
      </vt:variant>
      <vt:variant>
        <vt:i4>5</vt:i4>
      </vt:variant>
      <vt:variant>
        <vt:lpwstr/>
      </vt:variant>
      <vt:variant>
        <vt:lpwstr>_Toc225976440</vt:lpwstr>
      </vt:variant>
      <vt:variant>
        <vt:i4>1638452</vt:i4>
      </vt:variant>
      <vt:variant>
        <vt:i4>32</vt:i4>
      </vt:variant>
      <vt:variant>
        <vt:i4>0</vt:i4>
      </vt:variant>
      <vt:variant>
        <vt:i4>5</vt:i4>
      </vt:variant>
      <vt:variant>
        <vt:lpwstr/>
      </vt:variant>
      <vt:variant>
        <vt:lpwstr>_Toc225976439</vt:lpwstr>
      </vt:variant>
      <vt:variant>
        <vt:i4>1638452</vt:i4>
      </vt:variant>
      <vt:variant>
        <vt:i4>26</vt:i4>
      </vt:variant>
      <vt:variant>
        <vt:i4>0</vt:i4>
      </vt:variant>
      <vt:variant>
        <vt:i4>5</vt:i4>
      </vt:variant>
      <vt:variant>
        <vt:lpwstr/>
      </vt:variant>
      <vt:variant>
        <vt:lpwstr>_Toc225976438</vt:lpwstr>
      </vt:variant>
      <vt:variant>
        <vt:i4>1638452</vt:i4>
      </vt:variant>
      <vt:variant>
        <vt:i4>20</vt:i4>
      </vt:variant>
      <vt:variant>
        <vt:i4>0</vt:i4>
      </vt:variant>
      <vt:variant>
        <vt:i4>5</vt:i4>
      </vt:variant>
      <vt:variant>
        <vt:lpwstr/>
      </vt:variant>
      <vt:variant>
        <vt:lpwstr>_Toc225976437</vt:lpwstr>
      </vt:variant>
      <vt:variant>
        <vt:i4>1638452</vt:i4>
      </vt:variant>
      <vt:variant>
        <vt:i4>14</vt:i4>
      </vt:variant>
      <vt:variant>
        <vt:i4>0</vt:i4>
      </vt:variant>
      <vt:variant>
        <vt:i4>5</vt:i4>
      </vt:variant>
      <vt:variant>
        <vt:lpwstr/>
      </vt:variant>
      <vt:variant>
        <vt:lpwstr>_Toc225976436</vt:lpwstr>
      </vt:variant>
      <vt:variant>
        <vt:i4>1638452</vt:i4>
      </vt:variant>
      <vt:variant>
        <vt:i4>8</vt:i4>
      </vt:variant>
      <vt:variant>
        <vt:i4>0</vt:i4>
      </vt:variant>
      <vt:variant>
        <vt:i4>5</vt:i4>
      </vt:variant>
      <vt:variant>
        <vt:lpwstr/>
      </vt:variant>
      <vt:variant>
        <vt:lpwstr>_Toc225976435</vt:lpwstr>
      </vt:variant>
      <vt:variant>
        <vt:i4>1638452</vt:i4>
      </vt:variant>
      <vt:variant>
        <vt:i4>2</vt:i4>
      </vt:variant>
      <vt:variant>
        <vt:i4>0</vt:i4>
      </vt:variant>
      <vt:variant>
        <vt:i4>5</vt:i4>
      </vt:variant>
      <vt:variant>
        <vt:lpwstr/>
      </vt:variant>
      <vt:variant>
        <vt:lpwstr>_Toc225976434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Shkolnikov, Maxim (DNV External)</dc:creator>
  <cp:keywords/>
  <dc:description/>
  <cp:lastModifiedBy>Renaud Brendel</cp:lastModifiedBy>
  <cp:revision>3</cp:revision>
  <cp:lastPrinted>2026-02-17T11:37:00Z</cp:lastPrinted>
  <dcterms:created xsi:type="dcterms:W3CDTF">2026-04-08T07:40:00Z</dcterms:created>
  <dcterms:modified xsi:type="dcterms:W3CDTF">2026-04-08T07:41:00Z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a16b40-a803-442a-a923-9d42e9158dd1_Enabled">
    <vt:lpwstr>true</vt:lpwstr>
  </property>
  <property fmtid="{D5CDD505-2E9C-101B-9397-08002B2CF9AE}" pid="3" name="MSIP_Label_49a16b40-a803-442a-a923-9d42e9158dd1_SetDate">
    <vt:lpwstr>2026-03-12T12:33:56Z</vt:lpwstr>
  </property>
  <property fmtid="{D5CDD505-2E9C-101B-9397-08002B2CF9AE}" pid="4" name="MSIP_Label_49a16b40-a803-442a-a923-9d42e9158dd1_Method">
    <vt:lpwstr>Standard</vt:lpwstr>
  </property>
  <property fmtid="{D5CDD505-2E9C-101B-9397-08002B2CF9AE}" pid="5" name="MSIP_Label_49a16b40-a803-442a-a923-9d42e9158dd1_Name">
    <vt:lpwstr>Internal</vt:lpwstr>
  </property>
  <property fmtid="{D5CDD505-2E9C-101B-9397-08002B2CF9AE}" pid="6" name="MSIP_Label_49a16b40-a803-442a-a923-9d42e9158dd1_SiteId">
    <vt:lpwstr>cf81581f-cf8c-405d-97e3-34a295c8d882</vt:lpwstr>
  </property>
  <property fmtid="{D5CDD505-2E9C-101B-9397-08002B2CF9AE}" pid="7" name="MSIP_Label_49a16b40-a803-442a-a923-9d42e9158dd1_ActionId">
    <vt:lpwstr>598d878a-0b59-43e5-855c-0da3f22d87af</vt:lpwstr>
  </property>
  <property fmtid="{D5CDD505-2E9C-101B-9397-08002B2CF9AE}" pid="8" name="MSIP_Label_49a16b40-a803-442a-a923-9d42e9158dd1_ContentBits">
    <vt:lpwstr>0</vt:lpwstr>
  </property>
  <property fmtid="{D5CDD505-2E9C-101B-9397-08002B2CF9AE}" pid="9" name="MSIP_Label_49a16b40-a803-442a-a923-9d42e9158dd1_Tag">
    <vt:lpwstr>10, 3, 0, 1</vt:lpwstr>
  </property>
  <property fmtid="{D5CDD505-2E9C-101B-9397-08002B2CF9AE}" pid="10" name="ContentTypeId">
    <vt:lpwstr>0x01010029BBB4A2C08DCF4A9BDCC69C0F9DBDE8</vt:lpwstr>
  </property>
  <property fmtid="{D5CDD505-2E9C-101B-9397-08002B2CF9AE}" pid="11" name="MediaServiceImageTags">
    <vt:lpwstr/>
  </property>
  <property fmtid="{D5CDD505-2E9C-101B-9397-08002B2CF9AE}" pid="12" name="MSIP_Label_4dda24af-ac8f-4a9d-9d98-ed58ba2c887a_Enabled">
    <vt:lpwstr>true</vt:lpwstr>
  </property>
  <property fmtid="{D5CDD505-2E9C-101B-9397-08002B2CF9AE}" pid="13" name="MSIP_Label_4dda24af-ac8f-4a9d-9d98-ed58ba2c887a_SetDate">
    <vt:lpwstr>2026-03-25T17:04:34Z</vt:lpwstr>
  </property>
  <property fmtid="{D5CDD505-2E9C-101B-9397-08002B2CF9AE}" pid="14" name="MSIP_Label_4dda24af-ac8f-4a9d-9d98-ed58ba2c887a_Method">
    <vt:lpwstr>Privileged</vt:lpwstr>
  </property>
  <property fmtid="{D5CDD505-2E9C-101B-9397-08002B2CF9AE}" pid="15" name="MSIP_Label_4dda24af-ac8f-4a9d-9d98-ed58ba2c887a_Name">
    <vt:lpwstr>Restricted - Un-Marked</vt:lpwstr>
  </property>
  <property fmtid="{D5CDD505-2E9C-101B-9397-08002B2CF9AE}" pid="16" name="MSIP_Label_4dda24af-ac8f-4a9d-9d98-ed58ba2c887a_SiteId">
    <vt:lpwstr>54946ffc-68d3-4955-ac70-dca726d445b4</vt:lpwstr>
  </property>
  <property fmtid="{D5CDD505-2E9C-101B-9397-08002B2CF9AE}" pid="17" name="MSIP_Label_4dda24af-ac8f-4a9d-9d98-ed58ba2c887a_ActionId">
    <vt:lpwstr>252942dc-e3c2-4fce-93fb-92d8c420ed95</vt:lpwstr>
  </property>
  <property fmtid="{D5CDD505-2E9C-101B-9397-08002B2CF9AE}" pid="18" name="MSIP_Label_4dda24af-ac8f-4a9d-9d98-ed58ba2c887a_ContentBits">
    <vt:lpwstr>0</vt:lpwstr>
  </property>
  <property fmtid="{D5CDD505-2E9C-101B-9397-08002B2CF9AE}" pid="19" name="MSIP_Label_4dda24af-ac8f-4a9d-9d98-ed58ba2c887a_Tag">
    <vt:lpwstr>10, 0, 1, 1</vt:lpwstr>
  </property>
</Properties>
</file>